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459" w:type="dxa"/>
        <w:shd w:val="clear" w:color="auto" w:fill="632423"/>
        <w:tblLook w:val="04A0"/>
      </w:tblPr>
      <w:tblGrid>
        <w:gridCol w:w="1101"/>
        <w:gridCol w:w="8539"/>
      </w:tblGrid>
      <w:tr w:rsidR="005266AD" w:rsidRPr="007248E5" w:rsidTr="00067B75">
        <w:tc>
          <w:tcPr>
            <w:tcW w:w="1101" w:type="dxa"/>
            <w:shd w:val="clear" w:color="auto" w:fill="632423"/>
          </w:tcPr>
          <w:p w:rsidR="005266AD" w:rsidRPr="00067B75" w:rsidRDefault="005266AD" w:rsidP="005266AD">
            <w:pPr>
              <w:pStyle w:val="BodyText2"/>
              <w:rPr>
                <w:rFonts w:cs="Arial"/>
                <w:color w:val="FFFFFF"/>
                <w:sz w:val="20"/>
              </w:rPr>
            </w:pPr>
            <w:r w:rsidRPr="00067B75">
              <w:rPr>
                <w:rFonts w:cs="Arial"/>
                <w:color w:val="FFFFFF"/>
                <w:sz w:val="20"/>
              </w:rPr>
              <w:t>PART A -</w:t>
            </w:r>
          </w:p>
        </w:tc>
        <w:tc>
          <w:tcPr>
            <w:tcW w:w="8539" w:type="dxa"/>
            <w:shd w:val="clear" w:color="auto" w:fill="632423"/>
          </w:tcPr>
          <w:p w:rsidR="005266AD" w:rsidRPr="00067B75" w:rsidRDefault="005266AD" w:rsidP="00067B75">
            <w:pPr>
              <w:pStyle w:val="BodyText2"/>
              <w:rPr>
                <w:rFonts w:cs="Arial"/>
                <w:color w:val="FFFFFF"/>
                <w:sz w:val="20"/>
                <w:u w:val="single"/>
              </w:rPr>
            </w:pPr>
            <w:r w:rsidRPr="00067B75">
              <w:rPr>
                <w:rFonts w:cs="Arial"/>
                <w:color w:val="FFFFFF"/>
                <w:sz w:val="20"/>
              </w:rPr>
              <w:t>EXPLANATORY NOTES PURSUANT TO FINANCIAL REPORTING STANDARD (FRS 139)</w:t>
            </w:r>
          </w:p>
        </w:tc>
      </w:tr>
    </w:tbl>
    <w:p w:rsidR="00BC2CE9" w:rsidRPr="00BC2CE9" w:rsidRDefault="00BC2CE9" w:rsidP="00BC2CE9"/>
    <w:p w:rsidR="008A633A" w:rsidRPr="007248E5" w:rsidRDefault="008A633A">
      <w:pPr>
        <w:pStyle w:val="Heading2"/>
        <w:numPr>
          <w:ilvl w:val="0"/>
          <w:numId w:val="0"/>
        </w:numPr>
        <w:tabs>
          <w:tab w:val="left" w:pos="0"/>
        </w:tabs>
        <w:rPr>
          <w:rFonts w:cs="Arial"/>
          <w:sz w:val="20"/>
          <w:u w:val="none"/>
        </w:rPr>
      </w:pPr>
      <w:r w:rsidRPr="007248E5">
        <w:rPr>
          <w:rFonts w:cs="Arial"/>
          <w:sz w:val="20"/>
          <w:u w:val="none"/>
        </w:rPr>
        <w:t>1.</w:t>
      </w:r>
      <w:r w:rsidRPr="007248E5">
        <w:rPr>
          <w:rFonts w:cs="Arial"/>
          <w:sz w:val="20"/>
          <w:u w:val="none"/>
        </w:rPr>
        <w:tab/>
        <w:t>Basis of Accounting and Accounting Policies</w:t>
      </w:r>
    </w:p>
    <w:p w:rsidR="008A633A" w:rsidRPr="007248E5" w:rsidRDefault="008A633A">
      <w:pPr>
        <w:rPr>
          <w:rFonts w:ascii="Arial" w:hAnsi="Arial" w:cs="Arial"/>
        </w:rPr>
      </w:pPr>
    </w:p>
    <w:p w:rsidR="006818C6" w:rsidRPr="007248E5" w:rsidRDefault="006818C6">
      <w:pPr>
        <w:pStyle w:val="BodyTextIndent"/>
        <w:rPr>
          <w:rFonts w:cs="Arial"/>
          <w:sz w:val="20"/>
        </w:rPr>
      </w:pPr>
      <w:r w:rsidRPr="007248E5">
        <w:rPr>
          <w:rFonts w:cs="Arial"/>
          <w:sz w:val="20"/>
        </w:rPr>
        <w:t>The interim financial statements have been prepared under the historical cost convention.</w:t>
      </w:r>
    </w:p>
    <w:p w:rsidR="006818C6" w:rsidRPr="007248E5" w:rsidRDefault="006818C6">
      <w:pPr>
        <w:pStyle w:val="BodyTextIndent"/>
        <w:rPr>
          <w:rFonts w:cs="Arial"/>
          <w:sz w:val="20"/>
        </w:rPr>
      </w:pPr>
    </w:p>
    <w:p w:rsidR="008A633A" w:rsidRPr="007248E5" w:rsidRDefault="008A633A">
      <w:pPr>
        <w:pStyle w:val="BodyTextIndent"/>
        <w:rPr>
          <w:rFonts w:cs="Arial"/>
          <w:sz w:val="20"/>
        </w:rPr>
      </w:pPr>
      <w:r w:rsidRPr="007248E5">
        <w:rPr>
          <w:rFonts w:cs="Arial"/>
          <w:sz w:val="20"/>
        </w:rPr>
        <w:t xml:space="preserve">The interim financial statements </w:t>
      </w:r>
      <w:r w:rsidR="006818C6" w:rsidRPr="007248E5">
        <w:rPr>
          <w:rFonts w:cs="Arial"/>
          <w:sz w:val="20"/>
        </w:rPr>
        <w:t xml:space="preserve">are unaudited and have been prepared </w:t>
      </w:r>
      <w:r w:rsidRPr="007248E5">
        <w:rPr>
          <w:rFonts w:cs="Arial"/>
          <w:sz w:val="20"/>
        </w:rPr>
        <w:t xml:space="preserve">in accordance with </w:t>
      </w:r>
      <w:r w:rsidR="006818C6" w:rsidRPr="007248E5">
        <w:rPr>
          <w:rFonts w:cs="Arial"/>
          <w:sz w:val="20"/>
        </w:rPr>
        <w:t>FRS134:</w:t>
      </w:r>
      <w:r w:rsidRPr="007248E5">
        <w:rPr>
          <w:rFonts w:cs="Arial"/>
          <w:sz w:val="20"/>
        </w:rPr>
        <w:t xml:space="preserve"> Interim Financial Reporting and paragraph 9.22 of the Listing Requirements of the Bursa Malaysia Securities </w:t>
      </w:r>
      <w:proofErr w:type="spellStart"/>
      <w:r w:rsidRPr="007248E5">
        <w:rPr>
          <w:rFonts w:cs="Arial"/>
          <w:sz w:val="20"/>
        </w:rPr>
        <w:t>Berhad</w:t>
      </w:r>
      <w:proofErr w:type="spellEnd"/>
      <w:r w:rsidRPr="007248E5">
        <w:rPr>
          <w:rFonts w:cs="Arial"/>
          <w:sz w:val="20"/>
        </w:rPr>
        <w:t>.</w:t>
      </w:r>
    </w:p>
    <w:p w:rsidR="008A633A" w:rsidRPr="007248E5" w:rsidRDefault="008A633A">
      <w:pPr>
        <w:pStyle w:val="BodyTextIndent"/>
        <w:rPr>
          <w:rFonts w:cs="Arial"/>
          <w:sz w:val="20"/>
        </w:rPr>
      </w:pPr>
    </w:p>
    <w:p w:rsidR="008A633A" w:rsidRPr="007248E5" w:rsidRDefault="008A633A">
      <w:pPr>
        <w:pStyle w:val="BodyTextIndent"/>
        <w:rPr>
          <w:rFonts w:cs="Arial"/>
          <w:sz w:val="20"/>
        </w:rPr>
      </w:pPr>
      <w:r w:rsidRPr="007248E5">
        <w:rPr>
          <w:rFonts w:cs="Arial"/>
          <w:sz w:val="20"/>
        </w:rPr>
        <w:t xml:space="preserve">The interim financial statements should be read in conjunction with the audited financial statements for the year ended </w:t>
      </w:r>
      <w:r w:rsidR="00785381" w:rsidRPr="007248E5">
        <w:rPr>
          <w:rFonts w:cs="Arial"/>
          <w:sz w:val="20"/>
        </w:rPr>
        <w:t>31 December 20</w:t>
      </w:r>
      <w:r w:rsidR="005D5AA0" w:rsidRPr="007248E5">
        <w:rPr>
          <w:rFonts w:cs="Arial"/>
          <w:sz w:val="20"/>
        </w:rPr>
        <w:t>10</w:t>
      </w:r>
      <w:r w:rsidRPr="007248E5">
        <w:rPr>
          <w:rFonts w:cs="Arial"/>
          <w:sz w:val="20"/>
        </w:rPr>
        <w:t xml:space="preserve">. The explanatory notes attached to the financial statements provide an explanation of events and transactions that are significant to an understanding of the changes in the financial position and performance of the Group since the financial </w:t>
      </w:r>
      <w:r w:rsidR="00BD39B0" w:rsidRPr="007248E5">
        <w:rPr>
          <w:rFonts w:cs="Arial"/>
          <w:sz w:val="20"/>
        </w:rPr>
        <w:t>year</w:t>
      </w:r>
      <w:r w:rsidRPr="007248E5">
        <w:rPr>
          <w:rFonts w:cs="Arial"/>
          <w:sz w:val="20"/>
        </w:rPr>
        <w:t xml:space="preserve"> ended </w:t>
      </w:r>
      <w:r w:rsidR="0032742F" w:rsidRPr="007248E5">
        <w:rPr>
          <w:rFonts w:cs="Arial"/>
          <w:sz w:val="20"/>
        </w:rPr>
        <w:t>31 December 20</w:t>
      </w:r>
      <w:r w:rsidR="005D5AA0" w:rsidRPr="007248E5">
        <w:rPr>
          <w:rFonts w:cs="Arial"/>
          <w:sz w:val="20"/>
        </w:rPr>
        <w:t>1</w:t>
      </w:r>
      <w:r w:rsidR="0032742F" w:rsidRPr="007248E5">
        <w:rPr>
          <w:rFonts w:cs="Arial"/>
          <w:sz w:val="20"/>
        </w:rPr>
        <w:t>0</w:t>
      </w:r>
      <w:r w:rsidRPr="007248E5">
        <w:rPr>
          <w:rFonts w:cs="Arial"/>
          <w:sz w:val="20"/>
        </w:rPr>
        <w:t>.</w:t>
      </w:r>
    </w:p>
    <w:p w:rsidR="008A633A" w:rsidRDefault="008A633A">
      <w:pPr>
        <w:pStyle w:val="BodyTextIndent"/>
        <w:rPr>
          <w:rFonts w:cs="Arial"/>
          <w:sz w:val="20"/>
        </w:rPr>
      </w:pPr>
    </w:p>
    <w:p w:rsidR="00037FB6" w:rsidRPr="007248E5" w:rsidRDefault="00037FB6">
      <w:pPr>
        <w:pStyle w:val="BodyTextIndent"/>
        <w:rPr>
          <w:rFonts w:cs="Arial"/>
          <w:sz w:val="20"/>
        </w:rPr>
      </w:pPr>
    </w:p>
    <w:p w:rsidR="001B5A37" w:rsidRPr="007248E5" w:rsidRDefault="001B5A37">
      <w:pPr>
        <w:pStyle w:val="BodyTextIndent"/>
        <w:ind w:left="0"/>
        <w:rPr>
          <w:rFonts w:cs="Arial"/>
          <w:sz w:val="20"/>
        </w:rPr>
      </w:pPr>
    </w:p>
    <w:p w:rsidR="006818C6" w:rsidRPr="007248E5" w:rsidRDefault="006818C6" w:rsidP="009A54D0">
      <w:pPr>
        <w:pStyle w:val="BodyTextIndent"/>
        <w:numPr>
          <w:ilvl w:val="0"/>
          <w:numId w:val="19"/>
        </w:numPr>
        <w:ind w:hanging="720"/>
        <w:rPr>
          <w:rFonts w:cs="Arial"/>
          <w:b/>
          <w:sz w:val="20"/>
        </w:rPr>
      </w:pPr>
      <w:r w:rsidRPr="007248E5">
        <w:rPr>
          <w:rFonts w:cs="Arial"/>
          <w:b/>
          <w:sz w:val="20"/>
        </w:rPr>
        <w:t>Changes in Accounting Policies</w:t>
      </w:r>
    </w:p>
    <w:p w:rsidR="006818C6" w:rsidRPr="007248E5" w:rsidRDefault="006818C6" w:rsidP="006818C6">
      <w:pPr>
        <w:pStyle w:val="BodyTextIndent"/>
        <w:rPr>
          <w:rFonts w:cs="Arial"/>
          <w:b/>
          <w:sz w:val="20"/>
        </w:rPr>
      </w:pPr>
    </w:p>
    <w:p w:rsidR="005D5AA0" w:rsidRPr="007248E5" w:rsidRDefault="005D5AA0" w:rsidP="007248E5">
      <w:pPr>
        <w:ind w:left="720"/>
        <w:jc w:val="both"/>
        <w:rPr>
          <w:rFonts w:ascii="Arial" w:hAnsi="Arial" w:cs="Arial"/>
        </w:rPr>
      </w:pPr>
      <w:r w:rsidRPr="007248E5">
        <w:rPr>
          <w:rFonts w:ascii="Arial" w:hAnsi="Arial" w:cs="Arial"/>
        </w:rPr>
        <w:t xml:space="preserve">The significant accounting policies adopted are consistent with those of the audited financial statements for the year ended 31 December 2010 except for the adoption of the following new/revised Financial Reporting Standards (FRSs): Amendments </w:t>
      </w:r>
      <w:r w:rsidR="000C6895" w:rsidRPr="007248E5">
        <w:rPr>
          <w:rFonts w:ascii="Arial" w:hAnsi="Arial" w:cs="Arial"/>
        </w:rPr>
        <w:t>t</w:t>
      </w:r>
      <w:r w:rsidRPr="007248E5">
        <w:rPr>
          <w:rFonts w:ascii="Arial" w:hAnsi="Arial" w:cs="Arial"/>
        </w:rPr>
        <w:t xml:space="preserve">o FRSs and IC Interpretations which are applicable for the Group’s financial period </w:t>
      </w:r>
      <w:r w:rsidR="00067B75">
        <w:rPr>
          <w:rFonts w:ascii="Arial" w:hAnsi="Arial" w:cs="Arial"/>
        </w:rPr>
        <w:t xml:space="preserve">from </w:t>
      </w:r>
      <w:r w:rsidRPr="007248E5">
        <w:rPr>
          <w:rFonts w:ascii="Arial" w:hAnsi="Arial" w:cs="Arial"/>
        </w:rPr>
        <w:t>1 January 2011.</w:t>
      </w:r>
    </w:p>
    <w:p w:rsidR="005D5AA0" w:rsidRPr="007248E5" w:rsidRDefault="005D5AA0" w:rsidP="003A6447">
      <w:pPr>
        <w:ind w:left="1440"/>
        <w:rPr>
          <w:rFonts w:ascii="Arial" w:hAnsi="Arial" w:cs="Arial"/>
        </w:rPr>
      </w:pPr>
    </w:p>
    <w:p w:rsidR="005D5AA0" w:rsidRPr="007248E5" w:rsidRDefault="005D5AA0" w:rsidP="009A54D0">
      <w:pPr>
        <w:ind w:left="720"/>
        <w:jc w:val="both"/>
        <w:rPr>
          <w:rFonts w:ascii="Arial" w:hAnsi="Arial" w:cs="Arial"/>
        </w:rPr>
      </w:pPr>
      <w:r w:rsidRPr="007248E5">
        <w:rPr>
          <w:rFonts w:ascii="Arial" w:hAnsi="Arial" w:cs="Arial"/>
        </w:rPr>
        <w:t xml:space="preserve">Interpretations and amendments effective for annual periods </w:t>
      </w:r>
      <w:r w:rsidR="00067B75">
        <w:rPr>
          <w:rFonts w:ascii="Arial" w:hAnsi="Arial" w:cs="Arial"/>
        </w:rPr>
        <w:t xml:space="preserve">from </w:t>
      </w:r>
      <w:r w:rsidRPr="007248E5">
        <w:rPr>
          <w:rFonts w:ascii="Arial" w:hAnsi="Arial" w:cs="Arial"/>
        </w:rPr>
        <w:t>1 January 2011</w:t>
      </w:r>
    </w:p>
    <w:p w:rsidR="005D5AA0" w:rsidRPr="007248E5" w:rsidRDefault="005D5AA0" w:rsidP="003A6447">
      <w:pPr>
        <w:jc w:val="both"/>
        <w:rPr>
          <w:rFonts w:ascii="Arial" w:hAnsi="Arial" w:cs="Arial"/>
        </w:rPr>
      </w:pPr>
    </w:p>
    <w:p w:rsidR="003B535C" w:rsidRPr="007248E5" w:rsidRDefault="005D5AA0" w:rsidP="003A6447">
      <w:pPr>
        <w:ind w:firstLine="720"/>
        <w:jc w:val="both"/>
        <w:rPr>
          <w:rFonts w:ascii="Arial" w:hAnsi="Arial" w:cs="Arial"/>
        </w:rPr>
      </w:pPr>
      <w:r w:rsidRPr="007248E5">
        <w:rPr>
          <w:rFonts w:ascii="Arial" w:hAnsi="Arial" w:cs="Arial"/>
        </w:rPr>
        <w:t>Amendments to FRS 1</w:t>
      </w:r>
      <w:r w:rsidR="003B535C" w:rsidRPr="007248E5">
        <w:rPr>
          <w:rFonts w:ascii="Arial" w:hAnsi="Arial" w:cs="Arial"/>
        </w:rPr>
        <w:tab/>
      </w:r>
      <w:r w:rsidR="003B535C" w:rsidRPr="007248E5">
        <w:rPr>
          <w:rFonts w:ascii="Arial" w:hAnsi="Arial" w:cs="Arial"/>
        </w:rPr>
        <w:tab/>
      </w:r>
      <w:r w:rsidRPr="007248E5">
        <w:rPr>
          <w:rFonts w:ascii="Arial" w:hAnsi="Arial" w:cs="Arial"/>
        </w:rPr>
        <w:t>First-time Adoption of Financial Reporting Standards</w:t>
      </w:r>
    </w:p>
    <w:p w:rsidR="005D5AA0" w:rsidRPr="007248E5" w:rsidRDefault="005D5AA0" w:rsidP="003A6447">
      <w:pPr>
        <w:ind w:left="3600"/>
        <w:jc w:val="both"/>
        <w:rPr>
          <w:rFonts w:ascii="Arial" w:hAnsi="Arial" w:cs="Arial"/>
        </w:rPr>
      </w:pPr>
      <w:r w:rsidRPr="007248E5">
        <w:rPr>
          <w:rFonts w:ascii="Arial" w:hAnsi="Arial" w:cs="Arial"/>
        </w:rPr>
        <w:t>- Limited Exemption f</w:t>
      </w:r>
      <w:r w:rsidR="00802DE9" w:rsidRPr="007248E5">
        <w:rPr>
          <w:rFonts w:ascii="Arial" w:hAnsi="Arial" w:cs="Arial"/>
        </w:rPr>
        <w:t>r</w:t>
      </w:r>
      <w:r w:rsidRPr="007248E5">
        <w:rPr>
          <w:rFonts w:ascii="Arial" w:hAnsi="Arial" w:cs="Arial"/>
        </w:rPr>
        <w:t>om Comparative FRS 7 Disclosure for First-time Adopters</w:t>
      </w:r>
    </w:p>
    <w:p w:rsidR="005D5AA0" w:rsidRPr="007248E5" w:rsidRDefault="005D5AA0" w:rsidP="003A6447">
      <w:pPr>
        <w:jc w:val="both"/>
        <w:rPr>
          <w:rFonts w:ascii="Arial" w:hAnsi="Arial" w:cs="Arial"/>
        </w:rPr>
      </w:pPr>
      <w:r w:rsidRPr="007248E5">
        <w:rPr>
          <w:rFonts w:ascii="Arial" w:hAnsi="Arial" w:cs="Arial"/>
        </w:rPr>
        <w:tab/>
      </w:r>
      <w:r w:rsidR="003B535C" w:rsidRPr="007248E5">
        <w:rPr>
          <w:rFonts w:ascii="Arial" w:hAnsi="Arial" w:cs="Arial"/>
        </w:rPr>
        <w:tab/>
      </w:r>
      <w:r w:rsidR="003B535C" w:rsidRPr="007248E5">
        <w:rPr>
          <w:rFonts w:ascii="Arial" w:hAnsi="Arial" w:cs="Arial"/>
        </w:rPr>
        <w:tab/>
      </w:r>
      <w:r w:rsidR="003B535C" w:rsidRPr="007248E5">
        <w:rPr>
          <w:rFonts w:ascii="Arial" w:hAnsi="Arial" w:cs="Arial"/>
        </w:rPr>
        <w:tab/>
      </w:r>
      <w:r w:rsidR="003B535C" w:rsidRPr="007248E5">
        <w:rPr>
          <w:rFonts w:ascii="Arial" w:hAnsi="Arial" w:cs="Arial"/>
        </w:rPr>
        <w:tab/>
      </w:r>
      <w:r w:rsidRPr="007248E5">
        <w:rPr>
          <w:rFonts w:ascii="Arial" w:hAnsi="Arial" w:cs="Arial"/>
        </w:rPr>
        <w:t>- Additional Exemptions for First-time Adopters</w:t>
      </w:r>
    </w:p>
    <w:p w:rsidR="005D5AA0" w:rsidRPr="007248E5" w:rsidRDefault="005D5AA0" w:rsidP="003A6447">
      <w:pPr>
        <w:ind w:firstLine="720"/>
        <w:jc w:val="both"/>
        <w:rPr>
          <w:rFonts w:ascii="Arial" w:hAnsi="Arial" w:cs="Arial"/>
        </w:rPr>
      </w:pPr>
      <w:r w:rsidRPr="007248E5">
        <w:rPr>
          <w:rFonts w:ascii="Arial" w:hAnsi="Arial" w:cs="Arial"/>
        </w:rPr>
        <w:t>Amendments to FRS 2</w:t>
      </w:r>
      <w:r w:rsidR="003B535C" w:rsidRPr="007248E5">
        <w:rPr>
          <w:rFonts w:ascii="Arial" w:hAnsi="Arial" w:cs="Arial"/>
        </w:rPr>
        <w:tab/>
      </w:r>
      <w:r w:rsidR="003B535C" w:rsidRPr="007248E5">
        <w:rPr>
          <w:rFonts w:ascii="Arial" w:hAnsi="Arial" w:cs="Arial"/>
        </w:rPr>
        <w:tab/>
      </w:r>
      <w:r w:rsidRPr="007248E5">
        <w:rPr>
          <w:rFonts w:ascii="Arial" w:hAnsi="Arial" w:cs="Arial"/>
        </w:rPr>
        <w:t>Group Cash-settled Share Based Payment Transactions</w:t>
      </w:r>
    </w:p>
    <w:p w:rsidR="005D5AA0" w:rsidRPr="007248E5" w:rsidRDefault="005D5AA0" w:rsidP="003A6447">
      <w:pPr>
        <w:ind w:left="3600" w:hanging="2880"/>
        <w:jc w:val="both"/>
        <w:rPr>
          <w:rFonts w:ascii="Arial" w:hAnsi="Arial" w:cs="Arial"/>
        </w:rPr>
      </w:pPr>
      <w:r w:rsidRPr="007248E5">
        <w:rPr>
          <w:rFonts w:ascii="Arial" w:hAnsi="Arial" w:cs="Arial"/>
        </w:rPr>
        <w:t>Amendments to FRS 7</w:t>
      </w:r>
      <w:r w:rsidR="003B535C" w:rsidRPr="007248E5">
        <w:rPr>
          <w:rFonts w:ascii="Arial" w:hAnsi="Arial" w:cs="Arial"/>
        </w:rPr>
        <w:tab/>
      </w:r>
      <w:r w:rsidRPr="007248E5">
        <w:rPr>
          <w:rFonts w:ascii="Arial" w:hAnsi="Arial" w:cs="Arial"/>
        </w:rPr>
        <w:t xml:space="preserve">Financial Instruments: Disclosure – Improving Disclosure about Financial Instruments </w:t>
      </w:r>
    </w:p>
    <w:p w:rsidR="005D5AA0" w:rsidRPr="007248E5" w:rsidRDefault="005D5AA0" w:rsidP="003A6447">
      <w:pPr>
        <w:ind w:firstLine="720"/>
        <w:jc w:val="both"/>
        <w:rPr>
          <w:rFonts w:ascii="Arial" w:hAnsi="Arial" w:cs="Arial"/>
        </w:rPr>
      </w:pPr>
      <w:r w:rsidRPr="007248E5">
        <w:rPr>
          <w:rFonts w:ascii="Arial" w:hAnsi="Arial" w:cs="Arial"/>
        </w:rPr>
        <w:t>IC Interpretation 4</w:t>
      </w:r>
      <w:r w:rsidR="003B535C" w:rsidRPr="007248E5">
        <w:rPr>
          <w:rFonts w:ascii="Arial" w:hAnsi="Arial" w:cs="Arial"/>
        </w:rPr>
        <w:tab/>
      </w:r>
      <w:r w:rsidR="003B535C" w:rsidRPr="007248E5">
        <w:rPr>
          <w:rFonts w:ascii="Arial" w:hAnsi="Arial" w:cs="Arial"/>
        </w:rPr>
        <w:tab/>
      </w:r>
      <w:r w:rsidRPr="007248E5">
        <w:rPr>
          <w:rFonts w:ascii="Arial" w:hAnsi="Arial" w:cs="Arial"/>
        </w:rPr>
        <w:t>Determining whether an Arrangement contains a Lease</w:t>
      </w:r>
    </w:p>
    <w:p w:rsidR="005D5AA0" w:rsidRPr="007248E5" w:rsidRDefault="005D5AA0" w:rsidP="003A6447">
      <w:pPr>
        <w:ind w:firstLine="720"/>
        <w:jc w:val="both"/>
        <w:rPr>
          <w:rFonts w:ascii="Arial" w:hAnsi="Arial" w:cs="Arial"/>
        </w:rPr>
      </w:pPr>
      <w:r w:rsidRPr="007248E5">
        <w:rPr>
          <w:rFonts w:ascii="Arial" w:hAnsi="Arial" w:cs="Arial"/>
        </w:rPr>
        <w:t>IC Interpretation 18</w:t>
      </w:r>
      <w:r w:rsidR="003B535C" w:rsidRPr="007248E5">
        <w:rPr>
          <w:rFonts w:ascii="Arial" w:hAnsi="Arial" w:cs="Arial"/>
        </w:rPr>
        <w:tab/>
      </w:r>
      <w:r w:rsidR="003B535C" w:rsidRPr="007248E5">
        <w:rPr>
          <w:rFonts w:ascii="Arial" w:hAnsi="Arial" w:cs="Arial"/>
        </w:rPr>
        <w:tab/>
      </w:r>
      <w:r w:rsidRPr="007248E5">
        <w:rPr>
          <w:rFonts w:ascii="Arial" w:hAnsi="Arial" w:cs="Arial"/>
        </w:rPr>
        <w:t>Transfer of Assets from Customers</w:t>
      </w:r>
    </w:p>
    <w:p w:rsidR="005D5AA0" w:rsidRPr="007248E5" w:rsidRDefault="005D5AA0" w:rsidP="003A6447">
      <w:pPr>
        <w:ind w:firstLine="720"/>
        <w:jc w:val="both"/>
        <w:rPr>
          <w:rFonts w:ascii="Arial" w:hAnsi="Arial" w:cs="Arial"/>
        </w:rPr>
      </w:pPr>
      <w:r w:rsidRPr="007248E5">
        <w:rPr>
          <w:rFonts w:ascii="Arial" w:hAnsi="Arial" w:cs="Arial"/>
        </w:rPr>
        <w:t>Improvements to FRSs (2010)</w:t>
      </w:r>
    </w:p>
    <w:p w:rsidR="005D5AA0" w:rsidRPr="007248E5" w:rsidRDefault="005D5AA0" w:rsidP="003A6447">
      <w:pPr>
        <w:jc w:val="both"/>
        <w:rPr>
          <w:rFonts w:ascii="Arial" w:hAnsi="Arial" w:cs="Arial"/>
        </w:rPr>
      </w:pPr>
    </w:p>
    <w:p w:rsidR="005D5AA0" w:rsidRPr="007248E5" w:rsidRDefault="005D5AA0" w:rsidP="003A6447">
      <w:pPr>
        <w:jc w:val="both"/>
        <w:rPr>
          <w:rFonts w:ascii="Arial" w:hAnsi="Arial" w:cs="Arial"/>
        </w:rPr>
      </w:pPr>
    </w:p>
    <w:p w:rsidR="005D5AA0" w:rsidRPr="007248E5" w:rsidRDefault="005D5AA0" w:rsidP="009A54D0">
      <w:pPr>
        <w:ind w:left="720"/>
        <w:jc w:val="both"/>
        <w:rPr>
          <w:rFonts w:ascii="Arial" w:hAnsi="Arial" w:cs="Arial"/>
        </w:rPr>
      </w:pPr>
      <w:r w:rsidRPr="007248E5">
        <w:rPr>
          <w:rFonts w:ascii="Arial" w:hAnsi="Arial" w:cs="Arial"/>
        </w:rPr>
        <w:t>Interpretation and amendments effective for annual periods beginning on</w:t>
      </w:r>
      <w:r w:rsidR="00067B75">
        <w:rPr>
          <w:rFonts w:ascii="Arial" w:hAnsi="Arial" w:cs="Arial"/>
        </w:rPr>
        <w:t>/</w:t>
      </w:r>
      <w:r w:rsidRPr="007248E5">
        <w:rPr>
          <w:rFonts w:ascii="Arial" w:hAnsi="Arial" w:cs="Arial"/>
        </w:rPr>
        <w:t>after 1 July 2011</w:t>
      </w:r>
    </w:p>
    <w:p w:rsidR="003A6447" w:rsidRPr="007248E5" w:rsidRDefault="003A6447" w:rsidP="003A6447">
      <w:pPr>
        <w:ind w:firstLine="720"/>
        <w:jc w:val="both"/>
        <w:rPr>
          <w:rFonts w:ascii="Arial" w:hAnsi="Arial" w:cs="Arial"/>
        </w:rPr>
      </w:pPr>
    </w:p>
    <w:p w:rsidR="005D5AA0" w:rsidRPr="007248E5" w:rsidRDefault="005D5AA0" w:rsidP="003A6447">
      <w:pPr>
        <w:ind w:firstLine="720"/>
        <w:jc w:val="both"/>
        <w:rPr>
          <w:rFonts w:ascii="Arial" w:hAnsi="Arial" w:cs="Arial"/>
        </w:rPr>
      </w:pPr>
      <w:r w:rsidRPr="007248E5">
        <w:rPr>
          <w:rFonts w:ascii="Arial" w:hAnsi="Arial" w:cs="Arial"/>
        </w:rPr>
        <w:t>IC Interpretation 19</w:t>
      </w:r>
      <w:r w:rsidR="003B535C" w:rsidRPr="007248E5">
        <w:rPr>
          <w:rFonts w:ascii="Arial" w:hAnsi="Arial" w:cs="Arial"/>
        </w:rPr>
        <w:tab/>
      </w:r>
      <w:r w:rsidR="003B535C" w:rsidRPr="007248E5">
        <w:rPr>
          <w:rFonts w:ascii="Arial" w:hAnsi="Arial" w:cs="Arial"/>
        </w:rPr>
        <w:tab/>
      </w:r>
      <w:r w:rsidRPr="007248E5">
        <w:rPr>
          <w:rFonts w:ascii="Arial" w:hAnsi="Arial" w:cs="Arial"/>
        </w:rPr>
        <w:t>Extinguishing Financial Liabilities with Equity Instruments</w:t>
      </w:r>
    </w:p>
    <w:p w:rsidR="005D5AA0" w:rsidRPr="007248E5" w:rsidRDefault="005D5AA0" w:rsidP="003A6447">
      <w:pPr>
        <w:ind w:firstLine="720"/>
        <w:jc w:val="both"/>
        <w:rPr>
          <w:rFonts w:ascii="Arial" w:hAnsi="Arial" w:cs="Arial"/>
          <w:color w:val="FFFFFF" w:themeColor="background1"/>
        </w:rPr>
      </w:pPr>
      <w:r w:rsidRPr="007248E5">
        <w:rPr>
          <w:rFonts w:ascii="Arial" w:hAnsi="Arial" w:cs="Arial"/>
          <w:color w:val="FFFFFF" w:themeColor="background1"/>
        </w:rPr>
        <w:t>Amendment to IC Interpretation 14</w:t>
      </w:r>
      <w:r w:rsidR="003B535C" w:rsidRPr="007248E5">
        <w:rPr>
          <w:rFonts w:ascii="Arial" w:hAnsi="Arial" w:cs="Arial"/>
          <w:color w:val="FFFFFF" w:themeColor="background1"/>
        </w:rPr>
        <w:tab/>
      </w:r>
      <w:r w:rsidRPr="007248E5">
        <w:rPr>
          <w:rFonts w:ascii="Arial" w:hAnsi="Arial" w:cs="Arial"/>
          <w:color w:val="FFFFFF" w:themeColor="background1"/>
        </w:rPr>
        <w:t>Prepayments of a Minimum Funding Requirement</w:t>
      </w:r>
    </w:p>
    <w:p w:rsidR="00523580" w:rsidRPr="007248E5" w:rsidRDefault="00523580">
      <w:pPr>
        <w:pStyle w:val="BodyTextIndent"/>
        <w:ind w:left="0"/>
        <w:rPr>
          <w:rFonts w:cs="Arial"/>
          <w:b/>
          <w:sz w:val="20"/>
        </w:rPr>
      </w:pPr>
    </w:p>
    <w:p w:rsidR="004566A4" w:rsidRPr="007248E5" w:rsidRDefault="004566A4">
      <w:pPr>
        <w:pStyle w:val="BodyTextIndent"/>
        <w:ind w:left="0"/>
        <w:rPr>
          <w:rFonts w:cs="Arial"/>
          <w:b/>
          <w:sz w:val="20"/>
        </w:rPr>
      </w:pPr>
    </w:p>
    <w:p w:rsidR="006818C6" w:rsidRPr="007248E5" w:rsidRDefault="006818C6">
      <w:pPr>
        <w:pStyle w:val="BodyTextIndent"/>
        <w:ind w:left="0"/>
        <w:rPr>
          <w:rFonts w:cs="Arial"/>
          <w:b/>
          <w:sz w:val="20"/>
        </w:rPr>
      </w:pPr>
      <w:r w:rsidRPr="007248E5">
        <w:rPr>
          <w:rFonts w:cs="Arial"/>
          <w:b/>
          <w:sz w:val="20"/>
        </w:rPr>
        <w:t>3.</w:t>
      </w:r>
      <w:r w:rsidRPr="007248E5">
        <w:rPr>
          <w:rFonts w:cs="Arial"/>
          <w:b/>
          <w:sz w:val="20"/>
        </w:rPr>
        <w:tab/>
      </w:r>
      <w:r w:rsidR="008A633A" w:rsidRPr="007248E5">
        <w:rPr>
          <w:rFonts w:cs="Arial"/>
          <w:b/>
          <w:sz w:val="20"/>
        </w:rPr>
        <w:t>Declaration of audit qualification</w:t>
      </w:r>
    </w:p>
    <w:p w:rsidR="008A633A" w:rsidRPr="007248E5" w:rsidRDefault="008A633A">
      <w:pPr>
        <w:pStyle w:val="BodyTextIndent"/>
        <w:ind w:left="0"/>
        <w:rPr>
          <w:rFonts w:cs="Arial"/>
          <w:b/>
          <w:color w:val="FF0000"/>
          <w:sz w:val="20"/>
        </w:rPr>
      </w:pPr>
    </w:p>
    <w:p w:rsidR="008A633A" w:rsidRPr="007248E5" w:rsidRDefault="008A633A">
      <w:pPr>
        <w:pStyle w:val="BodyTextIndent"/>
        <w:rPr>
          <w:rFonts w:cs="Arial"/>
          <w:sz w:val="20"/>
        </w:rPr>
      </w:pPr>
      <w:r w:rsidRPr="007248E5">
        <w:rPr>
          <w:rFonts w:cs="Arial"/>
          <w:sz w:val="20"/>
        </w:rPr>
        <w:t>The preceding audited financial statements of the Company were reported without any qualification.</w:t>
      </w:r>
    </w:p>
    <w:p w:rsidR="008A633A" w:rsidRPr="007248E5" w:rsidRDefault="008A633A">
      <w:pPr>
        <w:jc w:val="both"/>
        <w:rPr>
          <w:rFonts w:ascii="Arial" w:hAnsi="Arial" w:cs="Arial"/>
        </w:rPr>
      </w:pPr>
    </w:p>
    <w:p w:rsidR="00037FB6" w:rsidRDefault="00037FB6">
      <w:pPr>
        <w:jc w:val="both"/>
        <w:rPr>
          <w:rFonts w:ascii="Arial" w:hAnsi="Arial" w:cs="Arial"/>
        </w:rPr>
      </w:pPr>
    </w:p>
    <w:p w:rsidR="00037FB6" w:rsidRPr="007248E5" w:rsidRDefault="00037FB6">
      <w:pPr>
        <w:jc w:val="both"/>
        <w:rPr>
          <w:rFonts w:ascii="Arial" w:hAnsi="Arial" w:cs="Arial"/>
        </w:rPr>
      </w:pPr>
    </w:p>
    <w:p w:rsidR="008A633A" w:rsidRPr="007248E5" w:rsidRDefault="00637910">
      <w:pPr>
        <w:pStyle w:val="BodyTextIndent"/>
        <w:ind w:left="0"/>
        <w:rPr>
          <w:rFonts w:cs="Arial"/>
          <w:b/>
          <w:sz w:val="20"/>
        </w:rPr>
      </w:pPr>
      <w:r w:rsidRPr="007248E5">
        <w:rPr>
          <w:rFonts w:cs="Arial"/>
          <w:b/>
          <w:sz w:val="20"/>
        </w:rPr>
        <w:t>4</w:t>
      </w:r>
      <w:r w:rsidR="008A633A" w:rsidRPr="007248E5">
        <w:rPr>
          <w:rFonts w:cs="Arial"/>
          <w:b/>
          <w:sz w:val="20"/>
        </w:rPr>
        <w:t>.</w:t>
      </w:r>
      <w:r w:rsidR="008A633A" w:rsidRPr="007248E5">
        <w:rPr>
          <w:rFonts w:cs="Arial"/>
          <w:b/>
          <w:sz w:val="20"/>
        </w:rPr>
        <w:tab/>
        <w:t>Seasonal or Cyclical Factors</w:t>
      </w:r>
    </w:p>
    <w:p w:rsidR="008A633A" w:rsidRPr="007248E5" w:rsidRDefault="008A633A">
      <w:pPr>
        <w:pStyle w:val="BodyTextIndent"/>
        <w:ind w:left="0"/>
        <w:rPr>
          <w:rFonts w:cs="Arial"/>
          <w:b/>
          <w:sz w:val="20"/>
        </w:rPr>
      </w:pPr>
    </w:p>
    <w:p w:rsidR="008A633A" w:rsidRDefault="008A633A">
      <w:pPr>
        <w:ind w:left="720" w:hanging="720"/>
        <w:jc w:val="both"/>
        <w:rPr>
          <w:rFonts w:ascii="Arial" w:hAnsi="Arial" w:cs="Arial"/>
        </w:rPr>
      </w:pPr>
      <w:r w:rsidRPr="007248E5">
        <w:rPr>
          <w:rFonts w:ascii="Arial" w:hAnsi="Arial" w:cs="Arial"/>
        </w:rPr>
        <w:tab/>
        <w:t>The Group’s busines</w:t>
      </w:r>
      <w:r w:rsidR="00BF35D8" w:rsidRPr="007248E5">
        <w:rPr>
          <w:rFonts w:ascii="Arial" w:hAnsi="Arial" w:cs="Arial"/>
        </w:rPr>
        <w:t>s operations for the quarter</w:t>
      </w:r>
      <w:r w:rsidRPr="007248E5">
        <w:rPr>
          <w:rFonts w:ascii="Arial" w:hAnsi="Arial" w:cs="Arial"/>
        </w:rPr>
        <w:t xml:space="preserve"> ended </w:t>
      </w:r>
      <w:r w:rsidR="004C5B5D" w:rsidRPr="007248E5">
        <w:rPr>
          <w:rFonts w:ascii="Arial" w:hAnsi="Arial" w:cs="Arial"/>
        </w:rPr>
        <w:t>3</w:t>
      </w:r>
      <w:r w:rsidR="00382AF7" w:rsidRPr="007248E5">
        <w:rPr>
          <w:rFonts w:ascii="Arial" w:hAnsi="Arial" w:cs="Arial"/>
        </w:rPr>
        <w:t>1</w:t>
      </w:r>
      <w:r w:rsidR="004C5B5D" w:rsidRPr="007248E5">
        <w:rPr>
          <w:rFonts w:ascii="Arial" w:hAnsi="Arial" w:cs="Arial"/>
        </w:rPr>
        <w:t xml:space="preserve"> </w:t>
      </w:r>
      <w:r w:rsidR="00382AF7" w:rsidRPr="007248E5">
        <w:rPr>
          <w:rFonts w:ascii="Arial" w:hAnsi="Arial" w:cs="Arial"/>
        </w:rPr>
        <w:t xml:space="preserve">Dec </w:t>
      </w:r>
      <w:r w:rsidR="0032742F" w:rsidRPr="007248E5">
        <w:rPr>
          <w:rFonts w:ascii="Arial" w:hAnsi="Arial" w:cs="Arial"/>
        </w:rPr>
        <w:t>201</w:t>
      </w:r>
      <w:r w:rsidR="005D5AA0" w:rsidRPr="007248E5">
        <w:rPr>
          <w:rFonts w:ascii="Arial" w:hAnsi="Arial" w:cs="Arial"/>
        </w:rPr>
        <w:t>1</w:t>
      </w:r>
      <w:r w:rsidR="00483F32" w:rsidRPr="007248E5">
        <w:rPr>
          <w:rFonts w:ascii="Arial" w:hAnsi="Arial" w:cs="Arial"/>
        </w:rPr>
        <w:t xml:space="preserve"> were</w:t>
      </w:r>
      <w:r w:rsidRPr="007248E5">
        <w:rPr>
          <w:rFonts w:ascii="Arial" w:hAnsi="Arial" w:cs="Arial"/>
        </w:rPr>
        <w:t xml:space="preserve"> not materially affected by significant seasonal or cyclical fluctuations.</w:t>
      </w:r>
    </w:p>
    <w:p w:rsidR="00037FB6" w:rsidRDefault="00037FB6">
      <w:pPr>
        <w:ind w:left="720" w:hanging="720"/>
        <w:jc w:val="both"/>
        <w:rPr>
          <w:rFonts w:ascii="Arial" w:hAnsi="Arial" w:cs="Arial"/>
        </w:rPr>
      </w:pPr>
    </w:p>
    <w:p w:rsidR="00037FB6" w:rsidRDefault="00037FB6">
      <w:pPr>
        <w:ind w:left="720" w:hanging="720"/>
        <w:jc w:val="both"/>
        <w:rPr>
          <w:rFonts w:ascii="Arial" w:hAnsi="Arial" w:cs="Arial"/>
        </w:rPr>
      </w:pPr>
    </w:p>
    <w:p w:rsidR="00037FB6" w:rsidRPr="007248E5" w:rsidRDefault="00037FB6">
      <w:pPr>
        <w:ind w:left="720" w:hanging="720"/>
        <w:jc w:val="both"/>
        <w:rPr>
          <w:rFonts w:ascii="Arial" w:hAnsi="Arial" w:cs="Arial"/>
        </w:rPr>
      </w:pPr>
    </w:p>
    <w:p w:rsidR="008A633A" w:rsidRPr="007248E5" w:rsidRDefault="00637910">
      <w:pPr>
        <w:pStyle w:val="Heading4"/>
        <w:numPr>
          <w:ilvl w:val="0"/>
          <w:numId w:val="0"/>
        </w:numPr>
        <w:ind w:left="720" w:hanging="720"/>
        <w:rPr>
          <w:rFonts w:cs="Arial"/>
          <w:sz w:val="20"/>
          <w:u w:val="none"/>
        </w:rPr>
      </w:pPr>
      <w:r w:rsidRPr="007248E5">
        <w:rPr>
          <w:rFonts w:cs="Arial"/>
          <w:sz w:val="20"/>
          <w:u w:val="none"/>
        </w:rPr>
        <w:lastRenderedPageBreak/>
        <w:t>5</w:t>
      </w:r>
      <w:r w:rsidR="008A633A" w:rsidRPr="007248E5">
        <w:rPr>
          <w:rFonts w:cs="Arial"/>
          <w:sz w:val="20"/>
          <w:u w:val="none"/>
        </w:rPr>
        <w:t>.</w:t>
      </w:r>
      <w:r w:rsidR="008A633A" w:rsidRPr="007248E5">
        <w:rPr>
          <w:rFonts w:cs="Arial"/>
          <w:sz w:val="20"/>
          <w:u w:val="none"/>
        </w:rPr>
        <w:tab/>
        <w:t>Unusual Items Due to their Nature, Size or Incidence</w:t>
      </w:r>
    </w:p>
    <w:p w:rsidR="008A633A" w:rsidRPr="007248E5" w:rsidRDefault="008A633A">
      <w:pPr>
        <w:jc w:val="both"/>
        <w:rPr>
          <w:rFonts w:ascii="Arial" w:hAnsi="Arial" w:cs="Arial"/>
        </w:rPr>
      </w:pPr>
    </w:p>
    <w:p w:rsidR="008A633A" w:rsidRPr="007248E5" w:rsidRDefault="008A633A">
      <w:pPr>
        <w:tabs>
          <w:tab w:val="left" w:pos="720"/>
        </w:tabs>
        <w:ind w:left="720"/>
        <w:jc w:val="both"/>
        <w:rPr>
          <w:rFonts w:ascii="Arial" w:hAnsi="Arial" w:cs="Arial"/>
        </w:rPr>
      </w:pPr>
      <w:r w:rsidRPr="007248E5">
        <w:rPr>
          <w:rFonts w:ascii="Arial" w:hAnsi="Arial" w:cs="Arial"/>
        </w:rPr>
        <w:t>There were no unusual items affecting assets, liabilities, equity, net income, or cas</w:t>
      </w:r>
      <w:r w:rsidR="00BF35D8" w:rsidRPr="007248E5">
        <w:rPr>
          <w:rFonts w:ascii="Arial" w:hAnsi="Arial" w:cs="Arial"/>
        </w:rPr>
        <w:t xml:space="preserve">h flows during the quarter </w:t>
      </w:r>
      <w:r w:rsidRPr="007248E5">
        <w:rPr>
          <w:rFonts w:ascii="Arial" w:hAnsi="Arial" w:cs="Arial"/>
        </w:rPr>
        <w:t xml:space="preserve">ended </w:t>
      </w:r>
      <w:r w:rsidR="004C5B5D" w:rsidRPr="007248E5">
        <w:rPr>
          <w:rFonts w:ascii="Arial" w:hAnsi="Arial" w:cs="Arial"/>
        </w:rPr>
        <w:t>3</w:t>
      </w:r>
      <w:r w:rsidR="00382AF7" w:rsidRPr="007248E5">
        <w:rPr>
          <w:rFonts w:ascii="Arial" w:hAnsi="Arial" w:cs="Arial"/>
        </w:rPr>
        <w:t>1</w:t>
      </w:r>
      <w:r w:rsidR="004C5B5D" w:rsidRPr="007248E5">
        <w:rPr>
          <w:rFonts w:ascii="Arial" w:hAnsi="Arial" w:cs="Arial"/>
        </w:rPr>
        <w:t xml:space="preserve"> </w:t>
      </w:r>
      <w:r w:rsidR="00382AF7" w:rsidRPr="007248E5">
        <w:rPr>
          <w:rFonts w:ascii="Arial" w:hAnsi="Arial" w:cs="Arial"/>
        </w:rPr>
        <w:t xml:space="preserve">Dec </w:t>
      </w:r>
      <w:r w:rsidR="0032742F" w:rsidRPr="007248E5">
        <w:rPr>
          <w:rFonts w:ascii="Arial" w:hAnsi="Arial" w:cs="Arial"/>
        </w:rPr>
        <w:t>201</w:t>
      </w:r>
      <w:r w:rsidR="005D5AA0" w:rsidRPr="007248E5">
        <w:rPr>
          <w:rFonts w:ascii="Arial" w:hAnsi="Arial" w:cs="Arial"/>
        </w:rPr>
        <w:t>1</w:t>
      </w:r>
      <w:r w:rsidRPr="007248E5">
        <w:rPr>
          <w:rFonts w:ascii="Arial" w:hAnsi="Arial" w:cs="Arial"/>
        </w:rPr>
        <w:t>.</w:t>
      </w:r>
    </w:p>
    <w:p w:rsidR="008A633A" w:rsidRDefault="008A633A">
      <w:pPr>
        <w:tabs>
          <w:tab w:val="left" w:pos="720"/>
        </w:tabs>
        <w:jc w:val="both"/>
        <w:rPr>
          <w:rFonts w:ascii="Arial" w:hAnsi="Arial" w:cs="Arial"/>
        </w:rPr>
      </w:pPr>
    </w:p>
    <w:p w:rsidR="00037FB6" w:rsidRPr="007248E5" w:rsidRDefault="00037FB6">
      <w:pPr>
        <w:tabs>
          <w:tab w:val="left" w:pos="720"/>
        </w:tabs>
        <w:jc w:val="both"/>
        <w:rPr>
          <w:rFonts w:ascii="Arial" w:hAnsi="Arial" w:cs="Arial"/>
        </w:rPr>
      </w:pPr>
    </w:p>
    <w:p w:rsidR="0079161E" w:rsidRPr="007248E5" w:rsidRDefault="0079161E">
      <w:pPr>
        <w:tabs>
          <w:tab w:val="left" w:pos="720"/>
        </w:tabs>
        <w:ind w:left="720"/>
        <w:jc w:val="both"/>
        <w:rPr>
          <w:rFonts w:ascii="Arial" w:hAnsi="Arial" w:cs="Arial"/>
        </w:rPr>
      </w:pPr>
    </w:p>
    <w:p w:rsidR="008A633A" w:rsidRPr="007248E5" w:rsidRDefault="008A633A" w:rsidP="008A633A">
      <w:pPr>
        <w:pStyle w:val="Heading4"/>
        <w:numPr>
          <w:ilvl w:val="0"/>
          <w:numId w:val="5"/>
        </w:numPr>
        <w:ind w:hanging="720"/>
        <w:rPr>
          <w:rFonts w:cs="Arial"/>
          <w:sz w:val="20"/>
          <w:u w:val="none"/>
        </w:rPr>
      </w:pPr>
      <w:r w:rsidRPr="007248E5">
        <w:rPr>
          <w:rFonts w:cs="Arial"/>
          <w:sz w:val="20"/>
          <w:u w:val="none"/>
        </w:rPr>
        <w:t>Changes in estimates</w:t>
      </w:r>
    </w:p>
    <w:p w:rsidR="00996A0F" w:rsidRPr="007248E5" w:rsidRDefault="00996A0F" w:rsidP="00996A0F">
      <w:pPr>
        <w:tabs>
          <w:tab w:val="left" w:pos="90"/>
        </w:tabs>
        <w:ind w:left="720"/>
        <w:rPr>
          <w:rFonts w:ascii="Arial" w:hAnsi="Arial" w:cs="Arial"/>
        </w:rPr>
      </w:pPr>
    </w:p>
    <w:p w:rsidR="008A633A" w:rsidRPr="007248E5" w:rsidRDefault="001A4EAC">
      <w:pPr>
        <w:ind w:left="720"/>
        <w:jc w:val="both"/>
        <w:rPr>
          <w:rFonts w:ascii="Arial" w:hAnsi="Arial" w:cs="Arial"/>
        </w:rPr>
      </w:pPr>
      <w:r w:rsidRPr="007248E5">
        <w:rPr>
          <w:rFonts w:ascii="Arial" w:hAnsi="Arial" w:cs="Arial"/>
        </w:rPr>
        <w:t>There we</w:t>
      </w:r>
      <w:r w:rsidR="007E233F" w:rsidRPr="007248E5">
        <w:rPr>
          <w:rFonts w:ascii="Arial" w:hAnsi="Arial" w:cs="Arial"/>
        </w:rPr>
        <w:t>r</w:t>
      </w:r>
      <w:r w:rsidRPr="007248E5">
        <w:rPr>
          <w:rFonts w:ascii="Arial" w:hAnsi="Arial" w:cs="Arial"/>
        </w:rPr>
        <w:t>e</w:t>
      </w:r>
      <w:r w:rsidR="008A633A" w:rsidRPr="007248E5">
        <w:rPr>
          <w:rFonts w:ascii="Arial" w:hAnsi="Arial" w:cs="Arial"/>
        </w:rPr>
        <w:t xml:space="preserve"> no</w:t>
      </w:r>
      <w:r w:rsidR="00483F32" w:rsidRPr="007248E5">
        <w:rPr>
          <w:rFonts w:ascii="Arial" w:hAnsi="Arial" w:cs="Arial"/>
        </w:rPr>
        <w:t xml:space="preserve"> major </w:t>
      </w:r>
      <w:r w:rsidR="008A633A" w:rsidRPr="007248E5">
        <w:rPr>
          <w:rFonts w:ascii="Arial" w:hAnsi="Arial" w:cs="Arial"/>
        </w:rPr>
        <w:t>change</w:t>
      </w:r>
      <w:r w:rsidRPr="007248E5">
        <w:rPr>
          <w:rFonts w:ascii="Arial" w:hAnsi="Arial" w:cs="Arial"/>
        </w:rPr>
        <w:t>s in</w:t>
      </w:r>
      <w:r w:rsidR="008A633A" w:rsidRPr="007248E5">
        <w:rPr>
          <w:rFonts w:ascii="Arial" w:hAnsi="Arial" w:cs="Arial"/>
        </w:rPr>
        <w:t xml:space="preserve"> estimates that have had a material effect in the current quarter.</w:t>
      </w:r>
    </w:p>
    <w:p w:rsidR="008A633A" w:rsidRDefault="008A633A">
      <w:pPr>
        <w:jc w:val="both"/>
        <w:rPr>
          <w:rFonts w:ascii="Arial" w:hAnsi="Arial" w:cs="Arial"/>
        </w:rPr>
      </w:pPr>
    </w:p>
    <w:p w:rsidR="00037FB6" w:rsidRPr="007248E5" w:rsidRDefault="00037FB6">
      <w:pPr>
        <w:jc w:val="both"/>
        <w:rPr>
          <w:rFonts w:ascii="Arial" w:hAnsi="Arial" w:cs="Arial"/>
        </w:rPr>
      </w:pPr>
    </w:p>
    <w:p w:rsidR="00EF06A1" w:rsidRPr="007248E5" w:rsidRDefault="00EF06A1">
      <w:pPr>
        <w:jc w:val="both"/>
        <w:rPr>
          <w:rFonts w:ascii="Arial" w:hAnsi="Arial" w:cs="Arial"/>
        </w:rPr>
      </w:pPr>
    </w:p>
    <w:p w:rsidR="008A633A" w:rsidRPr="007248E5" w:rsidRDefault="008A633A" w:rsidP="008C352C">
      <w:pPr>
        <w:pStyle w:val="BodyTextIndent"/>
        <w:numPr>
          <w:ilvl w:val="0"/>
          <w:numId w:val="5"/>
        </w:numPr>
        <w:ind w:hanging="720"/>
        <w:rPr>
          <w:rFonts w:cs="Arial"/>
          <w:b/>
          <w:sz w:val="20"/>
        </w:rPr>
      </w:pPr>
      <w:r w:rsidRPr="007248E5">
        <w:rPr>
          <w:rFonts w:cs="Arial"/>
          <w:b/>
          <w:sz w:val="20"/>
        </w:rPr>
        <w:t>Segmental Information</w:t>
      </w:r>
      <w:r w:rsidR="00FD6BE0">
        <w:rPr>
          <w:rFonts w:cs="Arial"/>
          <w:b/>
          <w:sz w:val="20"/>
        </w:rPr>
        <w:t xml:space="preserve"> (Nett of Inter-Segment Elimination)</w:t>
      </w:r>
    </w:p>
    <w:p w:rsidR="00CC62E6" w:rsidRPr="007248E5" w:rsidRDefault="00CC62E6" w:rsidP="00CC62E6">
      <w:pPr>
        <w:pStyle w:val="BodyTextIndent"/>
        <w:tabs>
          <w:tab w:val="left" w:pos="720"/>
        </w:tabs>
        <w:rPr>
          <w:rFonts w:cs="Arial"/>
          <w:sz w:val="20"/>
        </w:rPr>
      </w:pPr>
    </w:p>
    <w:p w:rsidR="008A633A" w:rsidRPr="007248E5" w:rsidRDefault="00FD6BE0">
      <w:pPr>
        <w:pStyle w:val="BodyTextIndent"/>
        <w:rPr>
          <w:rFonts w:cs="Arial"/>
          <w:sz w:val="20"/>
        </w:rPr>
      </w:pPr>
      <w:r w:rsidRPr="007248E5">
        <w:rPr>
          <w:rFonts w:cs="Arial"/>
          <w:color w:val="000000"/>
          <w:sz w:val="20"/>
          <w:u w:val="single"/>
        </w:rPr>
        <w:object w:dxaOrig="8696" w:dyaOrig="4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13.75pt" o:ole="">
            <v:imagedata r:id="rId8" o:title=""/>
          </v:shape>
          <o:OLEObject Type="Embed" ProgID="Excel.Sheet.12" ShapeID="_x0000_i1025" DrawAspect="Content" ObjectID="_1391859913" r:id="rId9"/>
        </w:object>
      </w:r>
    </w:p>
    <w:p w:rsidR="009B5F39" w:rsidRPr="007248E5" w:rsidRDefault="009B5F39">
      <w:pPr>
        <w:jc w:val="both"/>
        <w:rPr>
          <w:rFonts w:ascii="Arial" w:hAnsi="Arial" w:cs="Arial"/>
          <w:b/>
        </w:rPr>
      </w:pPr>
    </w:p>
    <w:p w:rsidR="00D136B9" w:rsidRPr="007248E5" w:rsidRDefault="007F37D8" w:rsidP="000F2614">
      <w:pPr>
        <w:ind w:left="709" w:hanging="709"/>
        <w:jc w:val="both"/>
        <w:rPr>
          <w:rFonts w:ascii="Arial" w:hAnsi="Arial" w:cs="Arial"/>
          <w:b/>
        </w:rPr>
      </w:pPr>
      <w:r w:rsidRPr="007248E5">
        <w:rPr>
          <w:rFonts w:ascii="Arial" w:hAnsi="Arial" w:cs="Arial"/>
          <w:b/>
        </w:rPr>
        <w:t xml:space="preserve">           </w:t>
      </w:r>
      <w:r w:rsidR="00067B75">
        <w:rPr>
          <w:rFonts w:ascii="Arial" w:hAnsi="Arial" w:cs="Arial"/>
          <w:b/>
        </w:rPr>
        <w:t xml:space="preserve"> </w:t>
      </w:r>
      <w:r w:rsidR="00FD6BE0">
        <w:rPr>
          <w:rFonts w:ascii="Arial" w:hAnsi="Arial" w:cs="Arial"/>
          <w:b/>
        </w:rPr>
        <w:t xml:space="preserve"> </w:t>
      </w:r>
      <w:proofErr w:type="gramStart"/>
      <w:r w:rsidRPr="007248E5">
        <w:rPr>
          <w:rFonts w:ascii="Arial" w:hAnsi="Arial" w:cs="Arial"/>
          <w:b/>
        </w:rPr>
        <w:t>Note :</w:t>
      </w:r>
      <w:proofErr w:type="gramEnd"/>
      <w:r w:rsidR="00ED1A00" w:rsidRPr="007248E5">
        <w:rPr>
          <w:rFonts w:ascii="Arial" w:hAnsi="Arial" w:cs="Arial"/>
          <w:b/>
        </w:rPr>
        <w:t xml:space="preserve">  Analysis </w:t>
      </w:r>
      <w:r w:rsidRPr="007248E5">
        <w:rPr>
          <w:rFonts w:ascii="Arial" w:hAnsi="Arial" w:cs="Arial"/>
          <w:b/>
        </w:rPr>
        <w:t>on segmental performance is presented in Note 14 below</w:t>
      </w:r>
      <w:r w:rsidR="000F2614" w:rsidRPr="007248E5">
        <w:rPr>
          <w:rFonts w:ascii="Arial" w:hAnsi="Arial" w:cs="Arial"/>
          <w:b/>
        </w:rPr>
        <w:t xml:space="preserve"> in accordance to the amendments to Main Market Listing Requirements in relation to disclosure and other obligations and corporate disclosure guide effective financial year ended 31 Dec 2011.  </w:t>
      </w:r>
    </w:p>
    <w:p w:rsidR="005D534D" w:rsidRPr="007248E5" w:rsidRDefault="005D534D">
      <w:pPr>
        <w:jc w:val="both"/>
        <w:rPr>
          <w:rFonts w:ascii="Arial" w:hAnsi="Arial" w:cs="Arial"/>
          <w:b/>
        </w:rPr>
      </w:pPr>
    </w:p>
    <w:p w:rsidR="008C352C" w:rsidRPr="007248E5" w:rsidRDefault="008C352C">
      <w:pPr>
        <w:jc w:val="both"/>
        <w:rPr>
          <w:rFonts w:ascii="Arial" w:hAnsi="Arial" w:cs="Arial"/>
          <w:b/>
        </w:rPr>
      </w:pPr>
    </w:p>
    <w:p w:rsidR="007F37D8" w:rsidRPr="007248E5" w:rsidRDefault="007F37D8">
      <w:pPr>
        <w:jc w:val="both"/>
        <w:rPr>
          <w:rFonts w:ascii="Arial" w:hAnsi="Arial" w:cs="Arial"/>
          <w:b/>
        </w:rPr>
      </w:pPr>
    </w:p>
    <w:p w:rsidR="008A633A" w:rsidRPr="007248E5" w:rsidRDefault="00637910">
      <w:pPr>
        <w:jc w:val="both"/>
        <w:rPr>
          <w:rFonts w:ascii="Arial" w:hAnsi="Arial" w:cs="Arial"/>
          <w:b/>
        </w:rPr>
      </w:pPr>
      <w:r w:rsidRPr="007248E5">
        <w:rPr>
          <w:rFonts w:ascii="Arial" w:hAnsi="Arial" w:cs="Arial"/>
          <w:b/>
        </w:rPr>
        <w:t>8</w:t>
      </w:r>
      <w:r w:rsidR="008A633A" w:rsidRPr="007248E5">
        <w:rPr>
          <w:rFonts w:ascii="Arial" w:hAnsi="Arial" w:cs="Arial"/>
          <w:b/>
        </w:rPr>
        <w:t>.</w:t>
      </w:r>
      <w:r w:rsidR="008A633A" w:rsidRPr="007248E5">
        <w:rPr>
          <w:rFonts w:ascii="Arial" w:hAnsi="Arial" w:cs="Arial"/>
          <w:b/>
        </w:rPr>
        <w:tab/>
        <w:t>Valuation of property, plant and equipment</w:t>
      </w:r>
    </w:p>
    <w:p w:rsidR="008A633A" w:rsidRPr="007248E5" w:rsidRDefault="008A633A">
      <w:pPr>
        <w:jc w:val="both"/>
        <w:rPr>
          <w:rFonts w:ascii="Arial" w:hAnsi="Arial" w:cs="Arial"/>
          <w:b/>
        </w:rPr>
      </w:pPr>
    </w:p>
    <w:p w:rsidR="008A633A" w:rsidRPr="007248E5" w:rsidRDefault="008A633A" w:rsidP="007248E5">
      <w:pPr>
        <w:ind w:left="709"/>
        <w:jc w:val="both"/>
        <w:rPr>
          <w:rFonts w:ascii="Arial" w:hAnsi="Arial" w:cs="Arial"/>
        </w:rPr>
      </w:pPr>
      <w:r w:rsidRPr="007248E5">
        <w:rPr>
          <w:rFonts w:ascii="Arial" w:hAnsi="Arial" w:cs="Arial"/>
          <w:b/>
        </w:rPr>
        <w:tab/>
      </w:r>
      <w:r w:rsidRPr="007248E5">
        <w:rPr>
          <w:rFonts w:ascii="Arial" w:hAnsi="Arial" w:cs="Arial"/>
          <w:bCs/>
        </w:rPr>
        <w:t>The Group did not carry out any valuation on</w:t>
      </w:r>
      <w:r w:rsidR="00745704" w:rsidRPr="007248E5">
        <w:rPr>
          <w:rFonts w:ascii="Arial" w:hAnsi="Arial" w:cs="Arial"/>
          <w:bCs/>
        </w:rPr>
        <w:t xml:space="preserve"> property, plant and equipment </w:t>
      </w:r>
      <w:r w:rsidRPr="007248E5">
        <w:rPr>
          <w:rFonts w:ascii="Arial" w:hAnsi="Arial" w:cs="Arial"/>
          <w:bCs/>
        </w:rPr>
        <w:t xml:space="preserve">during the current quarter </w:t>
      </w:r>
      <w:r w:rsidR="00745704" w:rsidRPr="007248E5">
        <w:rPr>
          <w:rFonts w:ascii="Arial" w:hAnsi="Arial" w:cs="Arial"/>
          <w:bCs/>
        </w:rPr>
        <w:tab/>
      </w:r>
      <w:r w:rsidRPr="007248E5">
        <w:rPr>
          <w:rFonts w:ascii="Arial" w:hAnsi="Arial" w:cs="Arial"/>
          <w:bCs/>
        </w:rPr>
        <w:t>under review.</w:t>
      </w:r>
    </w:p>
    <w:p w:rsidR="008A633A" w:rsidRDefault="008A633A">
      <w:pPr>
        <w:jc w:val="both"/>
        <w:rPr>
          <w:rFonts w:ascii="Arial" w:hAnsi="Arial" w:cs="Arial"/>
        </w:rPr>
      </w:pPr>
    </w:p>
    <w:p w:rsidR="00037FB6" w:rsidRPr="007248E5" w:rsidRDefault="00037FB6">
      <w:pPr>
        <w:jc w:val="both"/>
        <w:rPr>
          <w:rFonts w:ascii="Arial" w:hAnsi="Arial" w:cs="Arial"/>
        </w:rPr>
      </w:pPr>
    </w:p>
    <w:p w:rsidR="00382AF7" w:rsidRPr="007248E5" w:rsidRDefault="00382AF7">
      <w:pPr>
        <w:jc w:val="both"/>
        <w:rPr>
          <w:rFonts w:ascii="Arial" w:hAnsi="Arial" w:cs="Arial"/>
        </w:rPr>
      </w:pPr>
    </w:p>
    <w:p w:rsidR="008A633A" w:rsidRPr="007248E5" w:rsidRDefault="00637910">
      <w:pPr>
        <w:ind w:left="720" w:hanging="720"/>
        <w:jc w:val="both"/>
        <w:rPr>
          <w:rFonts w:ascii="Arial" w:hAnsi="Arial" w:cs="Arial"/>
          <w:b/>
          <w:bCs/>
        </w:rPr>
      </w:pPr>
      <w:r w:rsidRPr="007248E5">
        <w:rPr>
          <w:rFonts w:ascii="Arial" w:hAnsi="Arial" w:cs="Arial"/>
          <w:b/>
          <w:bCs/>
        </w:rPr>
        <w:t>9</w:t>
      </w:r>
      <w:r w:rsidR="008A633A" w:rsidRPr="007248E5">
        <w:rPr>
          <w:rFonts w:ascii="Arial" w:hAnsi="Arial" w:cs="Arial"/>
          <w:b/>
          <w:bCs/>
        </w:rPr>
        <w:t>.</w:t>
      </w:r>
      <w:r w:rsidR="008A633A" w:rsidRPr="007248E5">
        <w:rPr>
          <w:rFonts w:ascii="Arial" w:hAnsi="Arial" w:cs="Arial"/>
          <w:b/>
          <w:bCs/>
        </w:rPr>
        <w:tab/>
        <w:t>Subsequent events</w:t>
      </w:r>
    </w:p>
    <w:p w:rsidR="008A633A" w:rsidRPr="007248E5" w:rsidRDefault="008A633A">
      <w:pPr>
        <w:jc w:val="both"/>
        <w:rPr>
          <w:rFonts w:ascii="Arial" w:hAnsi="Arial" w:cs="Arial"/>
          <w:bCs/>
        </w:rPr>
      </w:pPr>
    </w:p>
    <w:p w:rsidR="008A633A" w:rsidRPr="007248E5" w:rsidRDefault="008A633A">
      <w:pPr>
        <w:jc w:val="both"/>
        <w:rPr>
          <w:rFonts w:ascii="Arial" w:hAnsi="Arial" w:cs="Arial"/>
        </w:rPr>
      </w:pPr>
      <w:r w:rsidRPr="007248E5">
        <w:rPr>
          <w:rFonts w:ascii="Arial" w:hAnsi="Arial" w:cs="Arial"/>
          <w:b/>
          <w:bCs/>
        </w:rPr>
        <w:tab/>
      </w:r>
      <w:r w:rsidR="00483F32" w:rsidRPr="007248E5">
        <w:rPr>
          <w:rFonts w:ascii="Arial" w:hAnsi="Arial" w:cs="Arial"/>
        </w:rPr>
        <w:t>There were</w:t>
      </w:r>
      <w:r w:rsidR="00A37788" w:rsidRPr="007248E5">
        <w:rPr>
          <w:rFonts w:ascii="Arial" w:hAnsi="Arial" w:cs="Arial"/>
        </w:rPr>
        <w:t xml:space="preserve"> no significant</w:t>
      </w:r>
      <w:r w:rsidRPr="007248E5">
        <w:rPr>
          <w:rFonts w:ascii="Arial" w:hAnsi="Arial" w:cs="Arial"/>
        </w:rPr>
        <w:t xml:space="preserve"> events subsequent</w:t>
      </w:r>
      <w:r w:rsidR="00745704" w:rsidRPr="007248E5">
        <w:rPr>
          <w:rFonts w:ascii="Arial" w:hAnsi="Arial" w:cs="Arial"/>
        </w:rPr>
        <w:t xml:space="preserve"> to the end of current quarter </w:t>
      </w:r>
      <w:r w:rsidRPr="007248E5">
        <w:rPr>
          <w:rFonts w:ascii="Arial" w:hAnsi="Arial" w:cs="Arial"/>
        </w:rPr>
        <w:t>under review.</w:t>
      </w:r>
    </w:p>
    <w:p w:rsidR="008A633A" w:rsidRDefault="008A633A">
      <w:pPr>
        <w:tabs>
          <w:tab w:val="left" w:pos="990"/>
        </w:tabs>
        <w:ind w:left="720" w:hanging="720"/>
        <w:rPr>
          <w:rFonts w:ascii="Arial" w:hAnsi="Arial" w:cs="Arial"/>
        </w:rPr>
      </w:pPr>
    </w:p>
    <w:p w:rsidR="00037FB6" w:rsidRPr="007248E5" w:rsidRDefault="00037FB6">
      <w:pPr>
        <w:tabs>
          <w:tab w:val="left" w:pos="990"/>
        </w:tabs>
        <w:ind w:left="720" w:hanging="720"/>
        <w:rPr>
          <w:rFonts w:ascii="Arial" w:hAnsi="Arial" w:cs="Arial"/>
        </w:rPr>
      </w:pPr>
    </w:p>
    <w:p w:rsidR="00067B75" w:rsidRDefault="00067B75">
      <w:pPr>
        <w:rPr>
          <w:rFonts w:ascii="Arial" w:hAnsi="Arial" w:cs="Arial"/>
          <w:b/>
          <w:bCs/>
        </w:rPr>
      </w:pPr>
      <w:r>
        <w:rPr>
          <w:rFonts w:ascii="Arial" w:hAnsi="Arial" w:cs="Arial"/>
          <w:b/>
          <w:bCs/>
        </w:rPr>
        <w:br w:type="page"/>
      </w:r>
    </w:p>
    <w:p w:rsidR="009A54D0" w:rsidRDefault="009A54D0">
      <w:pPr>
        <w:rPr>
          <w:rFonts w:ascii="Arial" w:hAnsi="Arial" w:cs="Arial"/>
          <w:b/>
          <w:bCs/>
        </w:rPr>
      </w:pPr>
    </w:p>
    <w:p w:rsidR="008A633A" w:rsidRPr="007248E5" w:rsidRDefault="00637910">
      <w:pPr>
        <w:ind w:left="720" w:hanging="720"/>
        <w:rPr>
          <w:rFonts w:ascii="Arial" w:hAnsi="Arial" w:cs="Arial"/>
          <w:b/>
          <w:bCs/>
        </w:rPr>
      </w:pPr>
      <w:r w:rsidRPr="007248E5">
        <w:rPr>
          <w:rFonts w:ascii="Arial" w:hAnsi="Arial" w:cs="Arial"/>
          <w:b/>
          <w:bCs/>
        </w:rPr>
        <w:t>10</w:t>
      </w:r>
      <w:r w:rsidR="008A633A" w:rsidRPr="007248E5">
        <w:rPr>
          <w:rFonts w:ascii="Arial" w:hAnsi="Arial" w:cs="Arial"/>
          <w:b/>
          <w:bCs/>
        </w:rPr>
        <w:t>.</w:t>
      </w:r>
      <w:r w:rsidR="008A633A" w:rsidRPr="007248E5">
        <w:rPr>
          <w:rFonts w:ascii="Arial" w:hAnsi="Arial" w:cs="Arial"/>
          <w:b/>
          <w:bCs/>
        </w:rPr>
        <w:tab/>
        <w:t>Changes in Composition of the Group</w:t>
      </w:r>
    </w:p>
    <w:p w:rsidR="008A633A" w:rsidRPr="007248E5" w:rsidRDefault="008A633A">
      <w:pPr>
        <w:jc w:val="both"/>
        <w:rPr>
          <w:rFonts w:ascii="Arial" w:hAnsi="Arial" w:cs="Arial"/>
        </w:rPr>
      </w:pPr>
    </w:p>
    <w:p w:rsidR="00111504" w:rsidRPr="007248E5" w:rsidRDefault="00067B75" w:rsidP="003F240C">
      <w:pPr>
        <w:ind w:left="720"/>
        <w:jc w:val="both"/>
        <w:rPr>
          <w:rFonts w:ascii="Arial" w:hAnsi="Arial" w:cs="Arial"/>
        </w:rPr>
      </w:pPr>
      <w:r>
        <w:rPr>
          <w:rFonts w:ascii="Arial" w:hAnsi="Arial" w:cs="Arial"/>
        </w:rPr>
        <w:t>During the year ended 31 December 2011, there were n</w:t>
      </w:r>
      <w:r w:rsidR="0033231B" w:rsidRPr="007248E5">
        <w:rPr>
          <w:rFonts w:ascii="Arial" w:hAnsi="Arial" w:cs="Arial"/>
        </w:rPr>
        <w:t xml:space="preserve">o </w:t>
      </w:r>
      <w:r w:rsidR="00D136B9" w:rsidRPr="007248E5">
        <w:rPr>
          <w:rFonts w:ascii="Arial" w:hAnsi="Arial" w:cs="Arial"/>
        </w:rPr>
        <w:t xml:space="preserve">material </w:t>
      </w:r>
      <w:r w:rsidR="0033231B" w:rsidRPr="007248E5">
        <w:rPr>
          <w:rFonts w:ascii="Arial" w:hAnsi="Arial" w:cs="Arial"/>
        </w:rPr>
        <w:t>changes in the composition of the Group</w:t>
      </w:r>
      <w:r>
        <w:rPr>
          <w:rFonts w:ascii="Arial" w:hAnsi="Arial" w:cs="Arial"/>
        </w:rPr>
        <w:t xml:space="preserve">. </w:t>
      </w:r>
    </w:p>
    <w:p w:rsidR="000F2614" w:rsidRPr="007248E5" w:rsidRDefault="000F2614" w:rsidP="008366D4">
      <w:pPr>
        <w:ind w:left="1080" w:hanging="360"/>
        <w:jc w:val="both"/>
        <w:rPr>
          <w:rFonts w:ascii="Arial" w:hAnsi="Arial" w:cs="Arial"/>
        </w:rPr>
      </w:pPr>
    </w:p>
    <w:p w:rsidR="00D70DBC" w:rsidRDefault="00D70DBC" w:rsidP="008366D4">
      <w:pPr>
        <w:ind w:left="1080" w:hanging="360"/>
        <w:jc w:val="both"/>
        <w:rPr>
          <w:rFonts w:ascii="Arial" w:hAnsi="Arial" w:cs="Arial"/>
        </w:rPr>
      </w:pPr>
    </w:p>
    <w:p w:rsidR="00037FB6" w:rsidRPr="007248E5" w:rsidRDefault="00037FB6" w:rsidP="008366D4">
      <w:pPr>
        <w:ind w:left="1080" w:hanging="360"/>
        <w:jc w:val="both"/>
        <w:rPr>
          <w:rFonts w:ascii="Arial" w:hAnsi="Arial" w:cs="Arial"/>
        </w:rPr>
      </w:pPr>
    </w:p>
    <w:p w:rsidR="008A633A" w:rsidRPr="007248E5" w:rsidRDefault="00637910">
      <w:pPr>
        <w:jc w:val="both"/>
        <w:rPr>
          <w:rFonts w:ascii="Arial" w:hAnsi="Arial" w:cs="Arial"/>
          <w:b/>
          <w:bCs/>
        </w:rPr>
      </w:pPr>
      <w:r w:rsidRPr="007248E5">
        <w:rPr>
          <w:rFonts w:ascii="Arial" w:hAnsi="Arial" w:cs="Arial"/>
          <w:b/>
          <w:bCs/>
        </w:rPr>
        <w:t>11</w:t>
      </w:r>
      <w:r w:rsidR="008A633A" w:rsidRPr="007248E5">
        <w:rPr>
          <w:rFonts w:ascii="Arial" w:hAnsi="Arial" w:cs="Arial"/>
          <w:b/>
          <w:bCs/>
        </w:rPr>
        <w:t>.</w:t>
      </w:r>
      <w:r w:rsidR="008A633A" w:rsidRPr="007248E5">
        <w:rPr>
          <w:rFonts w:ascii="Arial" w:hAnsi="Arial" w:cs="Arial"/>
        </w:rPr>
        <w:tab/>
      </w:r>
      <w:r w:rsidR="008A633A" w:rsidRPr="007248E5">
        <w:rPr>
          <w:rFonts w:ascii="Arial" w:hAnsi="Arial" w:cs="Arial"/>
          <w:b/>
          <w:bCs/>
        </w:rPr>
        <w:t xml:space="preserve">Contingent Liabilities </w:t>
      </w:r>
    </w:p>
    <w:p w:rsidR="00083AD8" w:rsidRPr="007248E5" w:rsidRDefault="008A633A" w:rsidP="00083AD8">
      <w:pPr>
        <w:jc w:val="both"/>
        <w:rPr>
          <w:rFonts w:ascii="Arial" w:hAnsi="Arial" w:cs="Arial"/>
          <w:b/>
          <w:bCs/>
        </w:rPr>
      </w:pPr>
      <w:r w:rsidRPr="007248E5">
        <w:rPr>
          <w:rFonts w:ascii="Arial" w:hAnsi="Arial" w:cs="Arial"/>
          <w:b/>
          <w:bCs/>
        </w:rPr>
        <w:tab/>
      </w:r>
      <w:r w:rsidRPr="007248E5">
        <w:rPr>
          <w:rFonts w:ascii="Arial" w:hAnsi="Arial" w:cs="Arial"/>
          <w:b/>
          <w:bCs/>
        </w:rPr>
        <w:tab/>
      </w:r>
    </w:p>
    <w:p w:rsidR="00083AD8" w:rsidRPr="007248E5" w:rsidRDefault="002D1E24">
      <w:pPr>
        <w:jc w:val="both"/>
        <w:rPr>
          <w:rFonts w:ascii="Arial" w:hAnsi="Arial" w:cs="Arial"/>
          <w:bCs/>
        </w:rPr>
      </w:pPr>
      <w:r w:rsidRPr="007248E5">
        <w:rPr>
          <w:rFonts w:ascii="Arial" w:hAnsi="Arial" w:cs="Arial"/>
          <w:b/>
          <w:bCs/>
        </w:rPr>
        <w:tab/>
      </w:r>
      <w:r w:rsidRPr="007248E5">
        <w:rPr>
          <w:rFonts w:ascii="Arial" w:hAnsi="Arial" w:cs="Arial"/>
          <w:bCs/>
        </w:rPr>
        <w:t>The changes in contingent liabilities are as follows:</w:t>
      </w:r>
    </w:p>
    <w:p w:rsidR="00083AD8" w:rsidRPr="007248E5" w:rsidRDefault="00083AD8">
      <w:pPr>
        <w:jc w:val="both"/>
        <w:rPr>
          <w:rFonts w:ascii="Arial" w:hAnsi="Arial" w:cs="Arial"/>
          <w:b/>
          <w:bCs/>
        </w:rPr>
      </w:pPr>
    </w:p>
    <w:tbl>
      <w:tblPr>
        <w:tblW w:w="8203" w:type="dxa"/>
        <w:tblInd w:w="817" w:type="dxa"/>
        <w:tblLayout w:type="fixed"/>
        <w:tblLook w:val="04A0"/>
      </w:tblPr>
      <w:tblGrid>
        <w:gridCol w:w="5103"/>
        <w:gridCol w:w="1559"/>
        <w:gridCol w:w="1418"/>
        <w:gridCol w:w="123"/>
      </w:tblGrid>
      <w:tr w:rsidR="00F35C38" w:rsidRPr="007248E5" w:rsidTr="009F7CE4">
        <w:trPr>
          <w:trHeight w:val="480"/>
        </w:trPr>
        <w:tc>
          <w:tcPr>
            <w:tcW w:w="5103" w:type="dxa"/>
            <w:tcBorders>
              <w:top w:val="nil"/>
              <w:left w:val="nil"/>
              <w:bottom w:val="nil"/>
              <w:right w:val="nil"/>
            </w:tcBorders>
            <w:shd w:val="clear" w:color="auto" w:fill="auto"/>
            <w:hideMark/>
          </w:tcPr>
          <w:p w:rsidR="00F35C38" w:rsidRPr="007248E5" w:rsidRDefault="00F35C38" w:rsidP="00F35C38">
            <w:pPr>
              <w:rPr>
                <w:rFonts w:ascii="Arial" w:hAnsi="Arial" w:cs="Arial"/>
                <w:lang w:val="en-MY" w:eastAsia="en-MY"/>
              </w:rPr>
            </w:pPr>
          </w:p>
        </w:tc>
        <w:tc>
          <w:tcPr>
            <w:tcW w:w="1559" w:type="dxa"/>
            <w:tcBorders>
              <w:top w:val="nil"/>
              <w:left w:val="nil"/>
              <w:bottom w:val="nil"/>
              <w:right w:val="nil"/>
            </w:tcBorders>
            <w:shd w:val="clear" w:color="auto" w:fill="auto"/>
            <w:hideMark/>
          </w:tcPr>
          <w:p w:rsidR="00F35C38" w:rsidRPr="007248E5" w:rsidRDefault="00F35C38" w:rsidP="00382AF7">
            <w:pPr>
              <w:jc w:val="right"/>
              <w:rPr>
                <w:rFonts w:ascii="Arial" w:hAnsi="Arial" w:cs="Arial"/>
                <w:u w:val="single"/>
                <w:lang w:val="en-MY" w:eastAsia="en-MY"/>
              </w:rPr>
            </w:pPr>
            <w:r w:rsidRPr="007248E5">
              <w:rPr>
                <w:rFonts w:ascii="Arial" w:hAnsi="Arial" w:cs="Arial"/>
                <w:u w:val="single"/>
                <w:lang w:eastAsia="en-MY"/>
              </w:rPr>
              <w:t>As at 3</w:t>
            </w:r>
            <w:r w:rsidR="00382AF7" w:rsidRPr="007248E5">
              <w:rPr>
                <w:rFonts w:ascii="Arial" w:hAnsi="Arial" w:cs="Arial"/>
                <w:u w:val="single"/>
                <w:lang w:eastAsia="en-MY"/>
              </w:rPr>
              <w:t>1</w:t>
            </w:r>
            <w:r w:rsidRPr="007248E5">
              <w:rPr>
                <w:rFonts w:ascii="Arial" w:hAnsi="Arial" w:cs="Arial"/>
                <w:u w:val="single"/>
                <w:lang w:eastAsia="en-MY"/>
              </w:rPr>
              <w:t>.</w:t>
            </w:r>
            <w:r w:rsidR="00382AF7" w:rsidRPr="007248E5">
              <w:rPr>
                <w:rFonts w:ascii="Arial" w:hAnsi="Arial" w:cs="Arial"/>
                <w:u w:val="single"/>
                <w:lang w:eastAsia="en-MY"/>
              </w:rPr>
              <w:t>12</w:t>
            </w:r>
            <w:r w:rsidRPr="007248E5">
              <w:rPr>
                <w:rFonts w:ascii="Arial" w:hAnsi="Arial" w:cs="Arial"/>
                <w:u w:val="single"/>
                <w:lang w:eastAsia="en-MY"/>
              </w:rPr>
              <w:t>.2011</w:t>
            </w:r>
          </w:p>
        </w:tc>
        <w:tc>
          <w:tcPr>
            <w:tcW w:w="1541" w:type="dxa"/>
            <w:gridSpan w:val="2"/>
            <w:tcBorders>
              <w:top w:val="nil"/>
              <w:left w:val="nil"/>
              <w:bottom w:val="nil"/>
              <w:right w:val="nil"/>
            </w:tcBorders>
            <w:shd w:val="clear" w:color="auto" w:fill="auto"/>
            <w:hideMark/>
          </w:tcPr>
          <w:p w:rsidR="00F35C38" w:rsidRPr="007248E5" w:rsidRDefault="00F35C38" w:rsidP="009F7CE4">
            <w:pPr>
              <w:jc w:val="right"/>
              <w:rPr>
                <w:rFonts w:ascii="Arial" w:hAnsi="Arial" w:cs="Arial"/>
                <w:u w:val="single"/>
                <w:lang w:val="en-MY" w:eastAsia="en-MY"/>
              </w:rPr>
            </w:pPr>
            <w:r w:rsidRPr="007248E5">
              <w:rPr>
                <w:rFonts w:ascii="Arial" w:hAnsi="Arial" w:cs="Arial"/>
                <w:u w:val="single"/>
                <w:lang w:eastAsia="en-MY"/>
              </w:rPr>
              <w:t>As at 31.12.2010</w:t>
            </w:r>
          </w:p>
        </w:tc>
      </w:tr>
      <w:tr w:rsidR="00F35C38" w:rsidRPr="007248E5" w:rsidTr="009F7CE4">
        <w:trPr>
          <w:trHeight w:val="240"/>
        </w:trPr>
        <w:tc>
          <w:tcPr>
            <w:tcW w:w="5103" w:type="dxa"/>
            <w:tcBorders>
              <w:top w:val="nil"/>
              <w:left w:val="nil"/>
              <w:bottom w:val="nil"/>
              <w:right w:val="nil"/>
            </w:tcBorders>
            <w:shd w:val="clear" w:color="auto" w:fill="auto"/>
            <w:hideMark/>
          </w:tcPr>
          <w:p w:rsidR="00F35C38" w:rsidRPr="007248E5" w:rsidRDefault="00F35C38" w:rsidP="00F35C38">
            <w:pPr>
              <w:rPr>
                <w:rFonts w:ascii="Arial" w:hAnsi="Arial" w:cs="Arial"/>
                <w:lang w:val="en-MY" w:eastAsia="en-MY"/>
              </w:rPr>
            </w:pPr>
          </w:p>
        </w:tc>
        <w:tc>
          <w:tcPr>
            <w:tcW w:w="1559" w:type="dxa"/>
            <w:tcBorders>
              <w:top w:val="nil"/>
              <w:left w:val="nil"/>
              <w:bottom w:val="nil"/>
              <w:right w:val="nil"/>
            </w:tcBorders>
            <w:shd w:val="clear" w:color="auto" w:fill="auto"/>
            <w:hideMark/>
          </w:tcPr>
          <w:p w:rsidR="00F35C38" w:rsidRPr="007248E5" w:rsidRDefault="00F35C38" w:rsidP="00B33DE8">
            <w:pPr>
              <w:jc w:val="right"/>
              <w:rPr>
                <w:rFonts w:ascii="Arial" w:hAnsi="Arial" w:cs="Arial"/>
                <w:lang w:val="en-MY" w:eastAsia="en-MY"/>
              </w:rPr>
            </w:pPr>
            <w:r w:rsidRPr="007248E5">
              <w:rPr>
                <w:rFonts w:ascii="Arial" w:hAnsi="Arial" w:cs="Arial"/>
                <w:lang w:eastAsia="en-MY"/>
              </w:rPr>
              <w:t>(RM’000)</w:t>
            </w:r>
          </w:p>
        </w:tc>
        <w:tc>
          <w:tcPr>
            <w:tcW w:w="1541" w:type="dxa"/>
            <w:gridSpan w:val="2"/>
            <w:tcBorders>
              <w:top w:val="nil"/>
              <w:left w:val="nil"/>
              <w:bottom w:val="nil"/>
              <w:right w:val="nil"/>
            </w:tcBorders>
            <w:shd w:val="clear" w:color="auto" w:fill="auto"/>
            <w:hideMark/>
          </w:tcPr>
          <w:p w:rsidR="00F35C38" w:rsidRPr="007248E5" w:rsidRDefault="00F35C38" w:rsidP="00B33DE8">
            <w:pPr>
              <w:jc w:val="right"/>
              <w:rPr>
                <w:rFonts w:ascii="Arial" w:hAnsi="Arial" w:cs="Arial"/>
                <w:lang w:val="en-MY" w:eastAsia="en-MY"/>
              </w:rPr>
            </w:pPr>
            <w:r w:rsidRPr="007248E5">
              <w:rPr>
                <w:rFonts w:ascii="Arial" w:hAnsi="Arial" w:cs="Arial"/>
                <w:lang w:eastAsia="en-MY"/>
              </w:rPr>
              <w:t>(RM’000)</w:t>
            </w:r>
          </w:p>
        </w:tc>
      </w:tr>
      <w:tr w:rsidR="00B33DE8" w:rsidRPr="007248E5" w:rsidTr="000F2614">
        <w:trPr>
          <w:gridAfter w:val="1"/>
          <w:wAfter w:w="123" w:type="dxa"/>
          <w:trHeight w:val="255"/>
        </w:trPr>
        <w:tc>
          <w:tcPr>
            <w:tcW w:w="5103" w:type="dxa"/>
            <w:tcBorders>
              <w:top w:val="nil"/>
              <w:left w:val="nil"/>
              <w:bottom w:val="nil"/>
              <w:right w:val="nil"/>
            </w:tcBorders>
            <w:shd w:val="clear" w:color="auto" w:fill="auto"/>
            <w:vAlign w:val="center"/>
            <w:hideMark/>
          </w:tcPr>
          <w:p w:rsidR="00B33DE8" w:rsidRPr="007248E5" w:rsidRDefault="00B33DE8" w:rsidP="000620B8">
            <w:pPr>
              <w:rPr>
                <w:rFonts w:ascii="Arial" w:hAnsi="Arial" w:cs="Arial"/>
                <w:lang w:val="en-MY" w:eastAsia="en-MY"/>
              </w:rPr>
            </w:pPr>
            <w:r w:rsidRPr="007248E5">
              <w:rPr>
                <w:rFonts w:ascii="Arial" w:hAnsi="Arial" w:cs="Arial"/>
                <w:lang w:val="en-MY" w:eastAsia="en-MY"/>
              </w:rPr>
              <w:t>Guarantees given to financial institutions  in respect of credit facilities granted to subsidiary companies</w:t>
            </w:r>
          </w:p>
        </w:tc>
        <w:tc>
          <w:tcPr>
            <w:tcW w:w="1559" w:type="dxa"/>
            <w:tcBorders>
              <w:top w:val="nil"/>
              <w:left w:val="nil"/>
              <w:bottom w:val="nil"/>
              <w:right w:val="nil"/>
            </w:tcBorders>
            <w:shd w:val="clear" w:color="auto" w:fill="auto"/>
            <w:vAlign w:val="bottom"/>
            <w:hideMark/>
          </w:tcPr>
          <w:p w:rsidR="00B33DE8" w:rsidRPr="007248E5" w:rsidRDefault="00885D87" w:rsidP="000F2614">
            <w:pPr>
              <w:jc w:val="right"/>
              <w:rPr>
                <w:rFonts w:ascii="Arial" w:hAnsi="Arial" w:cs="Arial"/>
                <w:lang w:val="en-MY" w:eastAsia="en-MY"/>
              </w:rPr>
            </w:pPr>
            <w:r w:rsidRPr="007248E5">
              <w:rPr>
                <w:rFonts w:ascii="Arial" w:hAnsi="Arial" w:cs="Arial"/>
                <w:lang w:val="en-MY" w:eastAsia="en-MY"/>
              </w:rPr>
              <w:t>262</w:t>
            </w:r>
            <w:r w:rsidR="000F2614" w:rsidRPr="007248E5">
              <w:rPr>
                <w:rFonts w:ascii="Arial" w:hAnsi="Arial" w:cs="Arial"/>
                <w:lang w:val="en-MY" w:eastAsia="en-MY"/>
              </w:rPr>
              <w:t>,</w:t>
            </w:r>
            <w:r w:rsidRPr="007248E5">
              <w:rPr>
                <w:rFonts w:ascii="Arial" w:hAnsi="Arial" w:cs="Arial"/>
                <w:lang w:val="en-MY" w:eastAsia="en-MY"/>
              </w:rPr>
              <w:t>170</w:t>
            </w:r>
          </w:p>
        </w:tc>
        <w:tc>
          <w:tcPr>
            <w:tcW w:w="1418" w:type="dxa"/>
            <w:vAlign w:val="bottom"/>
          </w:tcPr>
          <w:p w:rsidR="00B33DE8" w:rsidRPr="007248E5" w:rsidRDefault="00B33DE8" w:rsidP="000F2614">
            <w:pPr>
              <w:jc w:val="right"/>
              <w:rPr>
                <w:rFonts w:ascii="Arial" w:hAnsi="Arial" w:cs="Arial"/>
                <w:lang w:val="en-MY" w:eastAsia="en-MY"/>
              </w:rPr>
            </w:pPr>
            <w:r w:rsidRPr="007248E5">
              <w:rPr>
                <w:rFonts w:ascii="Arial" w:hAnsi="Arial" w:cs="Arial"/>
                <w:lang w:val="en-MY" w:eastAsia="en-MY"/>
              </w:rPr>
              <w:t>182,236</w:t>
            </w:r>
          </w:p>
        </w:tc>
      </w:tr>
      <w:tr w:rsidR="00B33DE8" w:rsidRPr="007248E5" w:rsidTr="000F2614">
        <w:trPr>
          <w:gridAfter w:val="1"/>
          <w:wAfter w:w="123" w:type="dxa"/>
          <w:trHeight w:val="132"/>
        </w:trPr>
        <w:tc>
          <w:tcPr>
            <w:tcW w:w="5103" w:type="dxa"/>
            <w:tcBorders>
              <w:top w:val="nil"/>
              <w:left w:val="nil"/>
              <w:bottom w:val="nil"/>
              <w:right w:val="nil"/>
            </w:tcBorders>
            <w:shd w:val="clear" w:color="auto" w:fill="auto"/>
            <w:vAlign w:val="center"/>
            <w:hideMark/>
          </w:tcPr>
          <w:p w:rsidR="00B33DE8" w:rsidRPr="007248E5" w:rsidRDefault="00B33DE8" w:rsidP="000620B8">
            <w:pPr>
              <w:rPr>
                <w:rFonts w:ascii="Arial" w:hAnsi="Arial" w:cs="Arial"/>
                <w:lang w:val="en-MY" w:eastAsia="en-MY"/>
              </w:rPr>
            </w:pPr>
          </w:p>
          <w:p w:rsidR="00B33DE8" w:rsidRPr="007248E5" w:rsidRDefault="00B33DE8" w:rsidP="000620B8">
            <w:pPr>
              <w:rPr>
                <w:rFonts w:ascii="Arial" w:hAnsi="Arial" w:cs="Arial"/>
                <w:lang w:val="en-MY" w:eastAsia="en-MY"/>
              </w:rPr>
            </w:pPr>
            <w:r w:rsidRPr="007248E5">
              <w:rPr>
                <w:rFonts w:ascii="Arial" w:hAnsi="Arial" w:cs="Arial"/>
                <w:lang w:val="en-MY" w:eastAsia="en-MY"/>
              </w:rPr>
              <w:t>Corporate guarantees given to suppliers for credit facilities granted to subsidiary  companies</w:t>
            </w:r>
          </w:p>
        </w:tc>
        <w:tc>
          <w:tcPr>
            <w:tcW w:w="1559" w:type="dxa"/>
            <w:tcBorders>
              <w:top w:val="nil"/>
              <w:left w:val="nil"/>
              <w:bottom w:val="nil"/>
              <w:right w:val="nil"/>
            </w:tcBorders>
            <w:shd w:val="clear" w:color="auto" w:fill="auto"/>
            <w:noWrap/>
            <w:vAlign w:val="bottom"/>
            <w:hideMark/>
          </w:tcPr>
          <w:p w:rsidR="00B33DE8" w:rsidRPr="007248E5" w:rsidRDefault="00885D87" w:rsidP="000F2614">
            <w:pPr>
              <w:jc w:val="right"/>
              <w:rPr>
                <w:rFonts w:ascii="Arial" w:hAnsi="Arial" w:cs="Arial"/>
                <w:lang w:val="en-MY" w:eastAsia="en-MY"/>
              </w:rPr>
            </w:pPr>
            <w:r w:rsidRPr="007248E5">
              <w:rPr>
                <w:rFonts w:ascii="Arial" w:hAnsi="Arial" w:cs="Arial"/>
                <w:lang w:val="en-MY" w:eastAsia="en-MY"/>
              </w:rPr>
              <w:t>33</w:t>
            </w:r>
            <w:r w:rsidR="000F2614" w:rsidRPr="007248E5">
              <w:rPr>
                <w:rFonts w:ascii="Arial" w:hAnsi="Arial" w:cs="Arial"/>
                <w:lang w:val="en-MY" w:eastAsia="en-MY"/>
              </w:rPr>
              <w:t>,</w:t>
            </w:r>
            <w:r w:rsidRPr="007248E5">
              <w:rPr>
                <w:rFonts w:ascii="Arial" w:hAnsi="Arial" w:cs="Arial"/>
                <w:lang w:val="en-MY" w:eastAsia="en-MY"/>
              </w:rPr>
              <w:t>990</w:t>
            </w:r>
          </w:p>
        </w:tc>
        <w:tc>
          <w:tcPr>
            <w:tcW w:w="1418" w:type="dxa"/>
            <w:vAlign w:val="bottom"/>
          </w:tcPr>
          <w:p w:rsidR="00B33DE8" w:rsidRPr="007248E5" w:rsidRDefault="00B33DE8" w:rsidP="000F2614">
            <w:pPr>
              <w:jc w:val="right"/>
              <w:rPr>
                <w:rFonts w:ascii="Arial" w:hAnsi="Arial" w:cs="Arial"/>
                <w:lang w:val="en-MY" w:eastAsia="en-MY"/>
              </w:rPr>
            </w:pPr>
            <w:r w:rsidRPr="007248E5">
              <w:rPr>
                <w:rFonts w:ascii="Arial" w:hAnsi="Arial" w:cs="Arial"/>
                <w:lang w:val="en-MY" w:eastAsia="en-MY"/>
              </w:rPr>
              <w:t>30,690</w:t>
            </w:r>
          </w:p>
        </w:tc>
      </w:tr>
      <w:tr w:rsidR="00B33DE8" w:rsidRPr="007248E5" w:rsidTr="000F2614">
        <w:trPr>
          <w:gridAfter w:val="1"/>
          <w:wAfter w:w="123" w:type="dxa"/>
          <w:trHeight w:val="480"/>
        </w:trPr>
        <w:tc>
          <w:tcPr>
            <w:tcW w:w="5103" w:type="dxa"/>
            <w:tcBorders>
              <w:top w:val="nil"/>
              <w:left w:val="nil"/>
              <w:bottom w:val="nil"/>
              <w:right w:val="nil"/>
            </w:tcBorders>
            <w:shd w:val="clear" w:color="auto" w:fill="auto"/>
            <w:vAlign w:val="center"/>
            <w:hideMark/>
          </w:tcPr>
          <w:p w:rsidR="00B33DE8" w:rsidRPr="007248E5" w:rsidRDefault="00B33DE8" w:rsidP="000620B8">
            <w:pPr>
              <w:rPr>
                <w:rFonts w:ascii="Arial" w:hAnsi="Arial" w:cs="Arial"/>
                <w:lang w:val="en-MY" w:eastAsia="en-MY"/>
              </w:rPr>
            </w:pPr>
          </w:p>
          <w:p w:rsidR="00B33DE8" w:rsidRPr="007248E5" w:rsidRDefault="00B33DE8" w:rsidP="000620B8">
            <w:pPr>
              <w:rPr>
                <w:rFonts w:ascii="Arial" w:hAnsi="Arial" w:cs="Arial"/>
                <w:lang w:val="en-MY" w:eastAsia="en-MY"/>
              </w:rPr>
            </w:pPr>
            <w:r w:rsidRPr="007248E5">
              <w:rPr>
                <w:rFonts w:ascii="Arial" w:hAnsi="Arial" w:cs="Arial"/>
                <w:lang w:val="en-MY" w:eastAsia="en-MY"/>
              </w:rPr>
              <w:t>Guarantee given to Government of Malaysia for repayment of advance payment</w:t>
            </w:r>
          </w:p>
        </w:tc>
        <w:tc>
          <w:tcPr>
            <w:tcW w:w="1559" w:type="dxa"/>
            <w:tcBorders>
              <w:top w:val="nil"/>
              <w:left w:val="nil"/>
              <w:bottom w:val="nil"/>
              <w:right w:val="nil"/>
            </w:tcBorders>
            <w:shd w:val="clear" w:color="auto" w:fill="auto"/>
            <w:noWrap/>
            <w:vAlign w:val="bottom"/>
            <w:hideMark/>
          </w:tcPr>
          <w:p w:rsidR="00B33DE8" w:rsidRPr="007248E5" w:rsidRDefault="00885D87" w:rsidP="000F2614">
            <w:pPr>
              <w:jc w:val="right"/>
              <w:rPr>
                <w:rFonts w:ascii="Arial" w:hAnsi="Arial" w:cs="Arial"/>
                <w:lang w:val="en-MY" w:eastAsia="en-MY"/>
              </w:rPr>
            </w:pPr>
            <w:r w:rsidRPr="007248E5">
              <w:rPr>
                <w:rFonts w:ascii="Arial" w:hAnsi="Arial" w:cs="Arial"/>
                <w:lang w:val="en-MY" w:eastAsia="en-MY"/>
              </w:rPr>
              <w:t>8</w:t>
            </w:r>
            <w:r w:rsidR="000F2614" w:rsidRPr="007248E5">
              <w:rPr>
                <w:rFonts w:ascii="Arial" w:hAnsi="Arial" w:cs="Arial"/>
                <w:lang w:val="en-MY" w:eastAsia="en-MY"/>
              </w:rPr>
              <w:t>,</w:t>
            </w:r>
            <w:r w:rsidRPr="007248E5">
              <w:rPr>
                <w:rFonts w:ascii="Arial" w:hAnsi="Arial" w:cs="Arial"/>
                <w:lang w:val="en-MY" w:eastAsia="en-MY"/>
              </w:rPr>
              <w:t>700</w:t>
            </w:r>
          </w:p>
        </w:tc>
        <w:tc>
          <w:tcPr>
            <w:tcW w:w="1418" w:type="dxa"/>
            <w:vAlign w:val="bottom"/>
          </w:tcPr>
          <w:p w:rsidR="00B33DE8" w:rsidRPr="007248E5" w:rsidRDefault="00B33DE8" w:rsidP="000F2614">
            <w:pPr>
              <w:jc w:val="right"/>
              <w:rPr>
                <w:rFonts w:ascii="Arial" w:hAnsi="Arial" w:cs="Arial"/>
                <w:lang w:val="en-MY" w:eastAsia="en-MY"/>
              </w:rPr>
            </w:pPr>
            <w:r w:rsidRPr="007248E5">
              <w:rPr>
                <w:rFonts w:ascii="Arial" w:hAnsi="Arial" w:cs="Arial"/>
                <w:lang w:val="en-MY" w:eastAsia="en-MY"/>
              </w:rPr>
              <w:t>8,700</w:t>
            </w:r>
          </w:p>
        </w:tc>
      </w:tr>
      <w:tr w:rsidR="00B33DE8" w:rsidRPr="007248E5" w:rsidTr="000F2614">
        <w:trPr>
          <w:gridAfter w:val="1"/>
          <w:wAfter w:w="123" w:type="dxa"/>
          <w:trHeight w:val="439"/>
        </w:trPr>
        <w:tc>
          <w:tcPr>
            <w:tcW w:w="5103" w:type="dxa"/>
            <w:tcBorders>
              <w:top w:val="nil"/>
              <w:left w:val="nil"/>
              <w:bottom w:val="nil"/>
              <w:right w:val="nil"/>
            </w:tcBorders>
            <w:shd w:val="clear" w:color="auto" w:fill="auto"/>
            <w:vAlign w:val="center"/>
            <w:hideMark/>
          </w:tcPr>
          <w:p w:rsidR="00B33DE8" w:rsidRPr="007248E5" w:rsidRDefault="00B33DE8" w:rsidP="000620B8">
            <w:pPr>
              <w:rPr>
                <w:rFonts w:ascii="Arial" w:hAnsi="Arial" w:cs="Arial"/>
                <w:lang w:val="en-MY" w:eastAsia="en-MY"/>
              </w:rPr>
            </w:pPr>
          </w:p>
          <w:p w:rsidR="00B33DE8" w:rsidRPr="007248E5" w:rsidRDefault="00B33DE8" w:rsidP="000620B8">
            <w:pPr>
              <w:rPr>
                <w:rFonts w:ascii="Arial" w:hAnsi="Arial" w:cs="Arial"/>
                <w:lang w:val="en-MY" w:eastAsia="en-MY"/>
              </w:rPr>
            </w:pPr>
            <w:r w:rsidRPr="007248E5">
              <w:rPr>
                <w:rFonts w:ascii="Arial" w:hAnsi="Arial" w:cs="Arial"/>
                <w:lang w:val="en-MY" w:eastAsia="en-MY"/>
              </w:rPr>
              <w:t>Guarantee given to Government of Malaysia for performance bond for services rendered</w:t>
            </w:r>
          </w:p>
        </w:tc>
        <w:tc>
          <w:tcPr>
            <w:tcW w:w="1559" w:type="dxa"/>
            <w:tcBorders>
              <w:top w:val="nil"/>
              <w:left w:val="nil"/>
              <w:bottom w:val="nil"/>
              <w:right w:val="nil"/>
            </w:tcBorders>
            <w:shd w:val="clear" w:color="auto" w:fill="auto"/>
            <w:noWrap/>
            <w:vAlign w:val="bottom"/>
            <w:hideMark/>
          </w:tcPr>
          <w:p w:rsidR="00B33DE8" w:rsidRPr="007248E5" w:rsidRDefault="00885D87" w:rsidP="000F2614">
            <w:pPr>
              <w:jc w:val="right"/>
              <w:rPr>
                <w:rFonts w:ascii="Arial" w:hAnsi="Arial" w:cs="Arial"/>
                <w:lang w:val="en-MY" w:eastAsia="en-MY"/>
              </w:rPr>
            </w:pPr>
            <w:r w:rsidRPr="007248E5">
              <w:rPr>
                <w:rFonts w:ascii="Arial" w:hAnsi="Arial" w:cs="Arial"/>
                <w:lang w:val="en-MY" w:eastAsia="en-MY"/>
              </w:rPr>
              <w:t>912</w:t>
            </w:r>
          </w:p>
        </w:tc>
        <w:tc>
          <w:tcPr>
            <w:tcW w:w="1418" w:type="dxa"/>
            <w:vAlign w:val="bottom"/>
          </w:tcPr>
          <w:p w:rsidR="00B33DE8" w:rsidRPr="007248E5" w:rsidRDefault="00B33DE8" w:rsidP="000F2614">
            <w:pPr>
              <w:jc w:val="right"/>
              <w:rPr>
                <w:rFonts w:ascii="Arial" w:hAnsi="Arial" w:cs="Arial"/>
                <w:lang w:val="en-MY" w:eastAsia="en-MY"/>
              </w:rPr>
            </w:pPr>
            <w:r w:rsidRPr="007248E5">
              <w:rPr>
                <w:rFonts w:ascii="Arial" w:hAnsi="Arial" w:cs="Arial"/>
                <w:lang w:val="en-MY" w:eastAsia="en-MY"/>
              </w:rPr>
              <w:t>1,439</w:t>
            </w:r>
          </w:p>
        </w:tc>
      </w:tr>
      <w:tr w:rsidR="00B33DE8" w:rsidRPr="007248E5" w:rsidTr="000F2614">
        <w:trPr>
          <w:gridAfter w:val="1"/>
          <w:wAfter w:w="123" w:type="dxa"/>
          <w:trHeight w:val="80"/>
        </w:trPr>
        <w:tc>
          <w:tcPr>
            <w:tcW w:w="5103" w:type="dxa"/>
            <w:tcBorders>
              <w:top w:val="nil"/>
              <w:left w:val="nil"/>
              <w:bottom w:val="nil"/>
              <w:right w:val="nil"/>
            </w:tcBorders>
            <w:shd w:val="clear" w:color="auto" w:fill="auto"/>
            <w:vAlign w:val="center"/>
            <w:hideMark/>
          </w:tcPr>
          <w:p w:rsidR="00B33DE8" w:rsidRPr="007248E5" w:rsidRDefault="00B33DE8" w:rsidP="000620B8">
            <w:pPr>
              <w:rPr>
                <w:rFonts w:ascii="Arial" w:hAnsi="Arial" w:cs="Arial"/>
                <w:lang w:val="en-MY" w:eastAsia="en-MY"/>
              </w:rPr>
            </w:pPr>
          </w:p>
          <w:p w:rsidR="00B33DE8" w:rsidRPr="007248E5" w:rsidRDefault="00B33DE8" w:rsidP="000620B8">
            <w:pPr>
              <w:rPr>
                <w:rFonts w:ascii="Arial" w:hAnsi="Arial" w:cs="Arial"/>
                <w:lang w:val="en-MY" w:eastAsia="en-MY"/>
              </w:rPr>
            </w:pPr>
            <w:r w:rsidRPr="007248E5">
              <w:rPr>
                <w:rFonts w:ascii="Arial" w:hAnsi="Arial" w:cs="Arial"/>
                <w:lang w:val="en-MY" w:eastAsia="en-MY"/>
              </w:rPr>
              <w:t>Performance guarantee extend</w:t>
            </w:r>
            <w:r w:rsidR="00802DE9" w:rsidRPr="007248E5">
              <w:rPr>
                <w:rFonts w:ascii="Arial" w:hAnsi="Arial" w:cs="Arial"/>
                <w:lang w:val="en-MY" w:eastAsia="en-MY"/>
              </w:rPr>
              <w:t xml:space="preserve">ed </w:t>
            </w:r>
            <w:r w:rsidRPr="007248E5">
              <w:rPr>
                <w:rFonts w:ascii="Arial" w:hAnsi="Arial" w:cs="Arial"/>
                <w:lang w:val="en-MY" w:eastAsia="en-MY"/>
              </w:rPr>
              <w:t xml:space="preserve"> to third parties</w:t>
            </w:r>
          </w:p>
        </w:tc>
        <w:tc>
          <w:tcPr>
            <w:tcW w:w="1559" w:type="dxa"/>
            <w:tcBorders>
              <w:top w:val="nil"/>
              <w:left w:val="nil"/>
              <w:bottom w:val="nil"/>
              <w:right w:val="nil"/>
            </w:tcBorders>
            <w:shd w:val="clear" w:color="auto" w:fill="auto"/>
            <w:noWrap/>
            <w:vAlign w:val="bottom"/>
            <w:hideMark/>
          </w:tcPr>
          <w:p w:rsidR="00B33DE8" w:rsidRPr="007248E5" w:rsidRDefault="00885D87" w:rsidP="000F2614">
            <w:pPr>
              <w:jc w:val="right"/>
              <w:rPr>
                <w:rFonts w:ascii="Arial" w:hAnsi="Arial" w:cs="Arial"/>
                <w:lang w:val="en-MY" w:eastAsia="en-MY"/>
              </w:rPr>
            </w:pPr>
            <w:r w:rsidRPr="007248E5">
              <w:rPr>
                <w:rFonts w:ascii="Arial" w:hAnsi="Arial" w:cs="Arial"/>
                <w:lang w:val="en-MY" w:eastAsia="en-MY"/>
              </w:rPr>
              <w:t>8</w:t>
            </w:r>
            <w:r w:rsidR="000F2614" w:rsidRPr="007248E5">
              <w:rPr>
                <w:rFonts w:ascii="Arial" w:hAnsi="Arial" w:cs="Arial"/>
                <w:lang w:val="en-MY" w:eastAsia="en-MY"/>
              </w:rPr>
              <w:t>,</w:t>
            </w:r>
            <w:r w:rsidRPr="007248E5">
              <w:rPr>
                <w:rFonts w:ascii="Arial" w:hAnsi="Arial" w:cs="Arial"/>
                <w:lang w:val="en-MY" w:eastAsia="en-MY"/>
              </w:rPr>
              <w:t>009</w:t>
            </w:r>
          </w:p>
        </w:tc>
        <w:tc>
          <w:tcPr>
            <w:tcW w:w="1418" w:type="dxa"/>
            <w:vAlign w:val="bottom"/>
          </w:tcPr>
          <w:p w:rsidR="00B33DE8" w:rsidRPr="007248E5" w:rsidRDefault="00B33DE8" w:rsidP="000F2614">
            <w:pPr>
              <w:jc w:val="right"/>
              <w:rPr>
                <w:rFonts w:ascii="Arial" w:hAnsi="Arial" w:cs="Arial"/>
                <w:lang w:val="en-MY" w:eastAsia="en-MY"/>
              </w:rPr>
            </w:pPr>
            <w:r w:rsidRPr="007248E5">
              <w:rPr>
                <w:rFonts w:ascii="Arial" w:hAnsi="Arial" w:cs="Arial"/>
                <w:lang w:val="en-MY" w:eastAsia="en-MY"/>
              </w:rPr>
              <w:t>14,411</w:t>
            </w:r>
          </w:p>
        </w:tc>
      </w:tr>
      <w:tr w:rsidR="00B33DE8" w:rsidRPr="007248E5" w:rsidTr="009F7CE4">
        <w:trPr>
          <w:trHeight w:val="80"/>
        </w:trPr>
        <w:tc>
          <w:tcPr>
            <w:tcW w:w="5103" w:type="dxa"/>
            <w:tcBorders>
              <w:top w:val="nil"/>
              <w:left w:val="nil"/>
              <w:bottom w:val="nil"/>
              <w:right w:val="nil"/>
            </w:tcBorders>
            <w:shd w:val="clear" w:color="auto" w:fill="auto"/>
            <w:hideMark/>
          </w:tcPr>
          <w:p w:rsidR="00B33DE8" w:rsidRPr="007248E5" w:rsidRDefault="00B33DE8" w:rsidP="00F35C38">
            <w:pPr>
              <w:rPr>
                <w:rFonts w:ascii="Arial" w:hAnsi="Arial" w:cs="Arial"/>
                <w:lang w:val="en-MY" w:eastAsia="en-MY"/>
              </w:rPr>
            </w:pPr>
          </w:p>
        </w:tc>
        <w:tc>
          <w:tcPr>
            <w:tcW w:w="1559" w:type="dxa"/>
            <w:tcBorders>
              <w:top w:val="nil"/>
              <w:left w:val="nil"/>
              <w:bottom w:val="nil"/>
              <w:right w:val="nil"/>
            </w:tcBorders>
            <w:shd w:val="clear" w:color="auto" w:fill="auto"/>
            <w:noWrap/>
            <w:hideMark/>
          </w:tcPr>
          <w:p w:rsidR="00B33DE8" w:rsidRPr="007248E5" w:rsidRDefault="00B33DE8" w:rsidP="00F35C38">
            <w:pPr>
              <w:jc w:val="center"/>
              <w:rPr>
                <w:rFonts w:ascii="Arial" w:hAnsi="Arial" w:cs="Arial"/>
                <w:lang w:val="en-MY" w:eastAsia="en-MY"/>
              </w:rPr>
            </w:pPr>
          </w:p>
        </w:tc>
        <w:tc>
          <w:tcPr>
            <w:tcW w:w="1541" w:type="dxa"/>
            <w:gridSpan w:val="2"/>
            <w:tcBorders>
              <w:top w:val="nil"/>
              <w:left w:val="nil"/>
              <w:bottom w:val="nil"/>
              <w:right w:val="nil"/>
            </w:tcBorders>
            <w:shd w:val="clear" w:color="auto" w:fill="auto"/>
            <w:noWrap/>
            <w:hideMark/>
          </w:tcPr>
          <w:p w:rsidR="00B33DE8" w:rsidRPr="007248E5" w:rsidRDefault="00B33DE8" w:rsidP="00F35C38">
            <w:pPr>
              <w:jc w:val="center"/>
              <w:rPr>
                <w:rFonts w:ascii="Arial" w:hAnsi="Arial" w:cs="Arial"/>
                <w:lang w:val="en-MY" w:eastAsia="en-MY"/>
              </w:rPr>
            </w:pPr>
          </w:p>
        </w:tc>
      </w:tr>
    </w:tbl>
    <w:p w:rsidR="00637910" w:rsidRPr="007248E5" w:rsidRDefault="00637910">
      <w:pPr>
        <w:jc w:val="both"/>
        <w:rPr>
          <w:rFonts w:ascii="Arial" w:hAnsi="Arial" w:cs="Arial"/>
        </w:rPr>
      </w:pPr>
    </w:p>
    <w:p w:rsidR="00637910" w:rsidRPr="007248E5" w:rsidRDefault="00637910">
      <w:pPr>
        <w:jc w:val="both"/>
        <w:rPr>
          <w:rFonts w:ascii="Arial" w:hAnsi="Arial" w:cs="Arial"/>
        </w:rPr>
      </w:pPr>
    </w:p>
    <w:p w:rsidR="009F7CE4" w:rsidRPr="007248E5" w:rsidRDefault="009F7CE4">
      <w:pPr>
        <w:jc w:val="both"/>
        <w:rPr>
          <w:rFonts w:ascii="Arial" w:hAnsi="Arial" w:cs="Arial"/>
          <w:b/>
          <w:bCs/>
        </w:rPr>
      </w:pPr>
    </w:p>
    <w:p w:rsidR="008A633A" w:rsidRPr="007248E5" w:rsidRDefault="00637910">
      <w:pPr>
        <w:jc w:val="both"/>
        <w:rPr>
          <w:rFonts w:ascii="Arial" w:hAnsi="Arial" w:cs="Arial"/>
          <w:b/>
          <w:bCs/>
        </w:rPr>
      </w:pPr>
      <w:r w:rsidRPr="007248E5">
        <w:rPr>
          <w:rFonts w:ascii="Arial" w:hAnsi="Arial" w:cs="Arial"/>
          <w:b/>
          <w:bCs/>
        </w:rPr>
        <w:t>12</w:t>
      </w:r>
      <w:r w:rsidR="008A633A" w:rsidRPr="007248E5">
        <w:rPr>
          <w:rFonts w:ascii="Arial" w:hAnsi="Arial" w:cs="Arial"/>
          <w:b/>
          <w:bCs/>
        </w:rPr>
        <w:t>.</w:t>
      </w:r>
      <w:r w:rsidR="008A633A" w:rsidRPr="007248E5">
        <w:rPr>
          <w:rFonts w:ascii="Arial" w:hAnsi="Arial" w:cs="Arial"/>
          <w:b/>
          <w:bCs/>
        </w:rPr>
        <w:tab/>
        <w:t>Capital Commitments</w:t>
      </w:r>
    </w:p>
    <w:p w:rsidR="008A633A" w:rsidRPr="007248E5" w:rsidRDefault="008A633A">
      <w:pPr>
        <w:jc w:val="both"/>
        <w:rPr>
          <w:rFonts w:ascii="Arial" w:hAnsi="Arial" w:cs="Arial"/>
          <w:b/>
          <w:bCs/>
        </w:rPr>
      </w:pPr>
    </w:p>
    <w:tbl>
      <w:tblPr>
        <w:tblW w:w="7216" w:type="dxa"/>
        <w:tblInd w:w="817" w:type="dxa"/>
        <w:tblLook w:val="0000"/>
      </w:tblPr>
      <w:tblGrid>
        <w:gridCol w:w="5245"/>
        <w:gridCol w:w="1623"/>
        <w:gridCol w:w="348"/>
      </w:tblGrid>
      <w:tr w:rsidR="008A633A" w:rsidRPr="007248E5" w:rsidTr="008C60F8">
        <w:trPr>
          <w:trHeight w:val="290"/>
        </w:trPr>
        <w:tc>
          <w:tcPr>
            <w:tcW w:w="5245" w:type="dxa"/>
          </w:tcPr>
          <w:p w:rsidR="008A633A" w:rsidRPr="007248E5" w:rsidRDefault="008A633A">
            <w:pPr>
              <w:jc w:val="both"/>
              <w:rPr>
                <w:rFonts w:ascii="Arial" w:hAnsi="Arial" w:cs="Arial"/>
              </w:rPr>
            </w:pPr>
          </w:p>
        </w:tc>
        <w:tc>
          <w:tcPr>
            <w:tcW w:w="1623" w:type="dxa"/>
            <w:shd w:val="clear" w:color="auto" w:fill="auto"/>
          </w:tcPr>
          <w:p w:rsidR="008A633A" w:rsidRPr="007248E5" w:rsidRDefault="007E233F" w:rsidP="00382AF7">
            <w:pPr>
              <w:jc w:val="center"/>
              <w:rPr>
                <w:rFonts w:ascii="Arial" w:hAnsi="Arial" w:cs="Arial"/>
              </w:rPr>
            </w:pPr>
            <w:r w:rsidRPr="007248E5">
              <w:rPr>
                <w:rFonts w:ascii="Arial" w:hAnsi="Arial" w:cs="Arial"/>
                <w:u w:val="single"/>
              </w:rPr>
              <w:t xml:space="preserve">As at </w:t>
            </w:r>
            <w:r w:rsidR="00B724D9" w:rsidRPr="007248E5">
              <w:rPr>
                <w:rFonts w:ascii="Arial" w:hAnsi="Arial" w:cs="Arial"/>
                <w:u w:val="single"/>
              </w:rPr>
              <w:t>3</w:t>
            </w:r>
            <w:r w:rsidR="00382AF7" w:rsidRPr="007248E5">
              <w:rPr>
                <w:rFonts w:ascii="Arial" w:hAnsi="Arial" w:cs="Arial"/>
                <w:u w:val="single"/>
              </w:rPr>
              <w:t>1</w:t>
            </w:r>
            <w:r w:rsidR="00B724D9" w:rsidRPr="007248E5">
              <w:rPr>
                <w:rFonts w:ascii="Arial" w:hAnsi="Arial" w:cs="Arial"/>
                <w:u w:val="single"/>
              </w:rPr>
              <w:t>.</w:t>
            </w:r>
            <w:r w:rsidR="00382AF7" w:rsidRPr="007248E5">
              <w:rPr>
                <w:rFonts w:ascii="Arial" w:hAnsi="Arial" w:cs="Arial"/>
                <w:u w:val="single"/>
              </w:rPr>
              <w:t>12</w:t>
            </w:r>
            <w:r w:rsidR="0032742F" w:rsidRPr="007248E5">
              <w:rPr>
                <w:rFonts w:ascii="Arial" w:hAnsi="Arial" w:cs="Arial"/>
                <w:u w:val="single"/>
              </w:rPr>
              <w:t>.201</w:t>
            </w:r>
            <w:r w:rsidR="00696202" w:rsidRPr="007248E5">
              <w:rPr>
                <w:rFonts w:ascii="Arial" w:hAnsi="Arial" w:cs="Arial"/>
                <w:u w:val="single"/>
              </w:rPr>
              <w:t>1</w:t>
            </w:r>
          </w:p>
        </w:tc>
        <w:tc>
          <w:tcPr>
            <w:tcW w:w="0" w:type="auto"/>
          </w:tcPr>
          <w:p w:rsidR="008A633A" w:rsidRPr="007248E5" w:rsidRDefault="008A633A">
            <w:pPr>
              <w:rPr>
                <w:rFonts w:ascii="Arial" w:hAnsi="Arial" w:cs="Arial"/>
                <w:highlight w:val="yellow"/>
              </w:rPr>
            </w:pPr>
          </w:p>
        </w:tc>
      </w:tr>
      <w:tr w:rsidR="008A633A" w:rsidRPr="007248E5" w:rsidTr="00B33DE8">
        <w:trPr>
          <w:trHeight w:val="294"/>
        </w:trPr>
        <w:tc>
          <w:tcPr>
            <w:tcW w:w="5245" w:type="dxa"/>
          </w:tcPr>
          <w:p w:rsidR="008A633A" w:rsidRPr="007248E5" w:rsidRDefault="008A633A">
            <w:pPr>
              <w:jc w:val="both"/>
              <w:rPr>
                <w:rFonts w:ascii="Arial" w:hAnsi="Arial" w:cs="Arial"/>
              </w:rPr>
            </w:pPr>
          </w:p>
        </w:tc>
        <w:tc>
          <w:tcPr>
            <w:tcW w:w="1623" w:type="dxa"/>
          </w:tcPr>
          <w:p w:rsidR="008A633A" w:rsidRPr="007248E5" w:rsidRDefault="008A633A" w:rsidP="007E233F">
            <w:pPr>
              <w:jc w:val="center"/>
              <w:rPr>
                <w:rFonts w:ascii="Arial" w:hAnsi="Arial" w:cs="Arial"/>
              </w:rPr>
            </w:pPr>
            <w:r w:rsidRPr="007248E5">
              <w:rPr>
                <w:rFonts w:ascii="Arial" w:hAnsi="Arial" w:cs="Arial"/>
              </w:rPr>
              <w:t>RM’000</w:t>
            </w:r>
          </w:p>
        </w:tc>
        <w:tc>
          <w:tcPr>
            <w:tcW w:w="0" w:type="auto"/>
          </w:tcPr>
          <w:p w:rsidR="008A633A" w:rsidRPr="007248E5" w:rsidRDefault="008A633A">
            <w:pPr>
              <w:rPr>
                <w:rFonts w:ascii="Arial" w:hAnsi="Arial" w:cs="Arial"/>
                <w:highlight w:val="yellow"/>
              </w:rPr>
            </w:pPr>
          </w:p>
        </w:tc>
      </w:tr>
      <w:tr w:rsidR="00B33DE8" w:rsidRPr="007248E5" w:rsidTr="00B33DE8">
        <w:trPr>
          <w:trHeight w:val="420"/>
        </w:trPr>
        <w:tc>
          <w:tcPr>
            <w:tcW w:w="5245" w:type="dxa"/>
          </w:tcPr>
          <w:p w:rsidR="00B33DE8" w:rsidRPr="007248E5" w:rsidRDefault="00B33DE8">
            <w:pPr>
              <w:rPr>
                <w:rFonts w:ascii="Arial" w:hAnsi="Arial" w:cs="Arial"/>
              </w:rPr>
            </w:pPr>
            <w:r w:rsidRPr="007248E5">
              <w:rPr>
                <w:rFonts w:ascii="Arial" w:hAnsi="Arial" w:cs="Arial"/>
              </w:rPr>
              <w:t>Approved and contracted for</w:t>
            </w:r>
          </w:p>
        </w:tc>
        <w:tc>
          <w:tcPr>
            <w:tcW w:w="1623" w:type="dxa"/>
          </w:tcPr>
          <w:p w:rsidR="00B33DE8" w:rsidRPr="007248E5" w:rsidRDefault="00D136B9" w:rsidP="00885D87">
            <w:pPr>
              <w:jc w:val="right"/>
              <w:rPr>
                <w:rFonts w:ascii="Arial" w:hAnsi="Arial" w:cs="Arial"/>
                <w:lang w:val="en-MY" w:eastAsia="en-MY"/>
              </w:rPr>
            </w:pPr>
            <w:r w:rsidRPr="007248E5">
              <w:rPr>
                <w:rFonts w:ascii="Arial" w:hAnsi="Arial" w:cs="Arial"/>
                <w:lang w:val="en-MY" w:eastAsia="en-MY"/>
              </w:rPr>
              <w:t>3</w:t>
            </w:r>
            <w:r w:rsidR="00B33DE8" w:rsidRPr="007248E5">
              <w:rPr>
                <w:rFonts w:ascii="Arial" w:hAnsi="Arial" w:cs="Arial"/>
                <w:lang w:val="en-MY" w:eastAsia="en-MY"/>
              </w:rPr>
              <w:t>,</w:t>
            </w:r>
            <w:r w:rsidR="00885D87" w:rsidRPr="007248E5">
              <w:rPr>
                <w:rFonts w:ascii="Arial" w:hAnsi="Arial" w:cs="Arial"/>
                <w:lang w:val="en-MY" w:eastAsia="en-MY"/>
              </w:rPr>
              <w:t>879</w:t>
            </w:r>
          </w:p>
        </w:tc>
        <w:tc>
          <w:tcPr>
            <w:tcW w:w="0" w:type="auto"/>
          </w:tcPr>
          <w:p w:rsidR="00B33DE8" w:rsidRPr="007248E5" w:rsidRDefault="00B33DE8">
            <w:pPr>
              <w:rPr>
                <w:rFonts w:ascii="Arial" w:hAnsi="Arial" w:cs="Arial"/>
                <w:highlight w:val="yellow"/>
              </w:rPr>
            </w:pPr>
          </w:p>
        </w:tc>
      </w:tr>
      <w:tr w:rsidR="00B33DE8" w:rsidRPr="007248E5" w:rsidTr="00B33DE8">
        <w:trPr>
          <w:trHeight w:val="223"/>
        </w:trPr>
        <w:tc>
          <w:tcPr>
            <w:tcW w:w="5245" w:type="dxa"/>
          </w:tcPr>
          <w:p w:rsidR="00B33DE8" w:rsidRPr="007248E5" w:rsidRDefault="00B33DE8">
            <w:pPr>
              <w:jc w:val="both"/>
              <w:rPr>
                <w:rFonts w:ascii="Arial" w:hAnsi="Arial" w:cs="Arial"/>
              </w:rPr>
            </w:pPr>
            <w:r w:rsidRPr="007248E5">
              <w:rPr>
                <w:rFonts w:ascii="Arial" w:hAnsi="Arial" w:cs="Arial"/>
              </w:rPr>
              <w:t>Approved but not contracted for</w:t>
            </w:r>
          </w:p>
        </w:tc>
        <w:tc>
          <w:tcPr>
            <w:tcW w:w="1623" w:type="dxa"/>
            <w:tcBorders>
              <w:bottom w:val="single" w:sz="4" w:space="0" w:color="auto"/>
            </w:tcBorders>
            <w:vAlign w:val="bottom"/>
          </w:tcPr>
          <w:p w:rsidR="00B33DE8" w:rsidRPr="007248E5" w:rsidRDefault="00885D87" w:rsidP="00D136B9">
            <w:pPr>
              <w:jc w:val="right"/>
              <w:rPr>
                <w:rFonts w:ascii="Arial" w:hAnsi="Arial" w:cs="Arial"/>
                <w:lang w:val="en-MY" w:eastAsia="en-MY"/>
              </w:rPr>
            </w:pPr>
            <w:r w:rsidRPr="007248E5">
              <w:rPr>
                <w:rFonts w:ascii="Arial" w:hAnsi="Arial" w:cs="Arial"/>
                <w:lang w:val="en-MY" w:eastAsia="en-MY"/>
              </w:rPr>
              <w:t>10,490</w:t>
            </w:r>
          </w:p>
        </w:tc>
        <w:tc>
          <w:tcPr>
            <w:tcW w:w="0" w:type="auto"/>
          </w:tcPr>
          <w:p w:rsidR="00B33DE8" w:rsidRPr="007248E5" w:rsidRDefault="00B33DE8">
            <w:pPr>
              <w:rPr>
                <w:rFonts w:ascii="Arial" w:hAnsi="Arial" w:cs="Arial"/>
                <w:highlight w:val="yellow"/>
              </w:rPr>
            </w:pPr>
          </w:p>
        </w:tc>
      </w:tr>
      <w:tr w:rsidR="00B33DE8" w:rsidRPr="007248E5" w:rsidTr="00B33DE8">
        <w:trPr>
          <w:trHeight w:val="389"/>
        </w:trPr>
        <w:tc>
          <w:tcPr>
            <w:tcW w:w="5245" w:type="dxa"/>
          </w:tcPr>
          <w:p w:rsidR="00B33DE8" w:rsidRPr="007248E5" w:rsidRDefault="00B33DE8">
            <w:pPr>
              <w:jc w:val="both"/>
              <w:rPr>
                <w:rFonts w:ascii="Arial" w:hAnsi="Arial" w:cs="Arial"/>
              </w:rPr>
            </w:pPr>
          </w:p>
        </w:tc>
        <w:tc>
          <w:tcPr>
            <w:tcW w:w="1623" w:type="dxa"/>
            <w:tcBorders>
              <w:top w:val="single" w:sz="4" w:space="0" w:color="auto"/>
              <w:bottom w:val="double" w:sz="4" w:space="0" w:color="auto"/>
            </w:tcBorders>
            <w:vAlign w:val="bottom"/>
          </w:tcPr>
          <w:p w:rsidR="00B33DE8" w:rsidRPr="007248E5" w:rsidRDefault="00885D87" w:rsidP="00D136B9">
            <w:pPr>
              <w:jc w:val="right"/>
              <w:rPr>
                <w:rFonts w:ascii="Arial" w:hAnsi="Arial" w:cs="Arial"/>
                <w:lang w:val="en-MY" w:eastAsia="en-MY"/>
              </w:rPr>
            </w:pPr>
            <w:r w:rsidRPr="007248E5">
              <w:rPr>
                <w:rFonts w:ascii="Arial" w:hAnsi="Arial" w:cs="Arial"/>
                <w:lang w:val="en-MY" w:eastAsia="en-MY"/>
              </w:rPr>
              <w:t>14,369</w:t>
            </w:r>
          </w:p>
        </w:tc>
        <w:tc>
          <w:tcPr>
            <w:tcW w:w="0" w:type="auto"/>
          </w:tcPr>
          <w:p w:rsidR="00B33DE8" w:rsidRPr="007248E5" w:rsidRDefault="00B33DE8">
            <w:pPr>
              <w:rPr>
                <w:rFonts w:ascii="Arial" w:hAnsi="Arial" w:cs="Arial"/>
                <w:highlight w:val="yellow"/>
              </w:rPr>
            </w:pPr>
          </w:p>
        </w:tc>
      </w:tr>
    </w:tbl>
    <w:p w:rsidR="007248E5" w:rsidRDefault="008C60F8">
      <w:pPr>
        <w:jc w:val="both"/>
        <w:rPr>
          <w:rFonts w:ascii="Arial" w:hAnsi="Arial" w:cs="Arial"/>
        </w:rPr>
      </w:pPr>
      <w:r w:rsidRPr="007248E5">
        <w:rPr>
          <w:rFonts w:ascii="Arial" w:hAnsi="Arial" w:cs="Arial"/>
        </w:rPr>
        <w:t xml:space="preserve">  </w:t>
      </w:r>
    </w:p>
    <w:p w:rsidR="008A633A" w:rsidRPr="007248E5" w:rsidRDefault="007248E5">
      <w:pPr>
        <w:jc w:val="both"/>
        <w:rPr>
          <w:rFonts w:ascii="Arial" w:hAnsi="Arial" w:cs="Arial"/>
        </w:rPr>
      </w:pPr>
      <w:r>
        <w:rPr>
          <w:rFonts w:ascii="Arial" w:hAnsi="Arial" w:cs="Arial"/>
        </w:rPr>
        <w:br w:type="page"/>
      </w:r>
    </w:p>
    <w:p w:rsidR="008A633A" w:rsidRPr="00067B75" w:rsidRDefault="008A633A" w:rsidP="00067B75">
      <w:pPr>
        <w:pStyle w:val="BodyTextIndent2"/>
        <w:numPr>
          <w:ilvl w:val="0"/>
          <w:numId w:val="6"/>
        </w:numPr>
        <w:ind w:hanging="720"/>
        <w:rPr>
          <w:rFonts w:cs="Arial"/>
          <w:b/>
          <w:sz w:val="20"/>
        </w:rPr>
      </w:pPr>
      <w:r w:rsidRPr="00067B75">
        <w:rPr>
          <w:rFonts w:cs="Arial"/>
          <w:b/>
          <w:sz w:val="20"/>
        </w:rPr>
        <w:lastRenderedPageBreak/>
        <w:t xml:space="preserve">Dividend </w:t>
      </w:r>
    </w:p>
    <w:p w:rsidR="00CA1BE7" w:rsidRPr="007248E5" w:rsidRDefault="00CA1BE7" w:rsidP="00CA1BE7">
      <w:pPr>
        <w:jc w:val="both"/>
        <w:rPr>
          <w:rFonts w:ascii="Arial" w:hAnsi="Arial" w:cs="Arial"/>
        </w:rPr>
      </w:pPr>
    </w:p>
    <w:p w:rsidR="0054574F" w:rsidRPr="007248E5" w:rsidRDefault="008C352C" w:rsidP="007F42A9">
      <w:pPr>
        <w:pStyle w:val="BodyTextIndent3"/>
        <w:jc w:val="both"/>
        <w:rPr>
          <w:rFonts w:cs="Arial"/>
          <w:sz w:val="20"/>
        </w:rPr>
      </w:pPr>
      <w:r w:rsidRPr="007248E5">
        <w:rPr>
          <w:rFonts w:cs="Arial"/>
          <w:sz w:val="20"/>
        </w:rPr>
        <w:t xml:space="preserve">Other than specifically disclosed below, no other dividends were declared or paid for the financial period ended 31 December 3011 </w:t>
      </w:r>
    </w:p>
    <w:p w:rsidR="00CA1BE7" w:rsidRPr="007248E5" w:rsidRDefault="00CA1BE7" w:rsidP="007F42A9">
      <w:pPr>
        <w:pStyle w:val="BodyTextIndent3"/>
        <w:jc w:val="both"/>
        <w:rPr>
          <w:rFonts w:cs="Arial"/>
          <w:sz w:val="20"/>
        </w:rPr>
      </w:pPr>
    </w:p>
    <w:p w:rsidR="007F42A9" w:rsidRPr="007248E5" w:rsidRDefault="007F42A9" w:rsidP="007F42A9">
      <w:pPr>
        <w:pStyle w:val="BodyTextIndent3"/>
        <w:jc w:val="both"/>
        <w:rPr>
          <w:rFonts w:cs="Arial"/>
          <w:sz w:val="20"/>
        </w:rPr>
      </w:pPr>
      <w:r w:rsidRPr="007248E5">
        <w:rPr>
          <w:rFonts w:cs="Arial"/>
          <w:sz w:val="20"/>
        </w:rPr>
        <w:t>In respect of the finan</w:t>
      </w:r>
      <w:r w:rsidR="001626F8" w:rsidRPr="007248E5">
        <w:rPr>
          <w:rFonts w:cs="Arial"/>
          <w:sz w:val="20"/>
        </w:rPr>
        <w:t>cial year ended 31 December 20</w:t>
      </w:r>
      <w:r w:rsidR="00696202" w:rsidRPr="007248E5">
        <w:rPr>
          <w:rFonts w:cs="Arial"/>
          <w:sz w:val="20"/>
        </w:rPr>
        <w:t>10</w:t>
      </w:r>
      <w:r w:rsidRPr="007248E5">
        <w:rPr>
          <w:rFonts w:cs="Arial"/>
          <w:sz w:val="20"/>
        </w:rPr>
        <w:t xml:space="preserve">, </w:t>
      </w:r>
      <w:r w:rsidR="009A54D0" w:rsidRPr="007248E5">
        <w:rPr>
          <w:rFonts w:cs="Arial"/>
          <w:sz w:val="20"/>
        </w:rPr>
        <w:t>dividends paid were</w:t>
      </w:r>
      <w:r w:rsidR="000700D6" w:rsidRPr="007248E5">
        <w:rPr>
          <w:rFonts w:cs="Arial"/>
          <w:sz w:val="20"/>
        </w:rPr>
        <w:t xml:space="preserve"> as follows; </w:t>
      </w:r>
    </w:p>
    <w:p w:rsidR="007F42A9" w:rsidRPr="007248E5" w:rsidRDefault="007F42A9" w:rsidP="007F42A9">
      <w:pPr>
        <w:ind w:left="720"/>
        <w:rPr>
          <w:rFonts w:ascii="Arial" w:hAnsi="Arial" w:cs="Arial"/>
        </w:rPr>
      </w:pPr>
    </w:p>
    <w:p w:rsidR="007F42A9" w:rsidRPr="007248E5" w:rsidRDefault="007F42A9" w:rsidP="007F42A9">
      <w:pPr>
        <w:pStyle w:val="BodyTextIndent2"/>
        <w:tabs>
          <w:tab w:val="left" w:pos="8190"/>
        </w:tabs>
        <w:ind w:left="1080" w:firstLine="0"/>
        <w:rPr>
          <w:rFonts w:cs="Arial"/>
          <w:b/>
          <w:bCs/>
          <w:sz w:val="20"/>
          <w:u w:val="single"/>
        </w:rPr>
      </w:pPr>
      <w:r w:rsidRPr="007248E5">
        <w:rPr>
          <w:rFonts w:cs="Arial"/>
          <w:bCs/>
          <w:sz w:val="20"/>
        </w:rPr>
        <w:tab/>
      </w:r>
      <w:r w:rsidRPr="007248E5">
        <w:rPr>
          <w:rFonts w:cs="Arial"/>
          <w:b/>
          <w:bCs/>
          <w:sz w:val="20"/>
          <w:u w:val="single"/>
        </w:rPr>
        <w:t>RM’000</w:t>
      </w:r>
    </w:p>
    <w:p w:rsidR="00CA1BE7" w:rsidRPr="007248E5" w:rsidRDefault="008C60F8" w:rsidP="00377E88">
      <w:pPr>
        <w:pStyle w:val="BodyTextIndent2"/>
        <w:tabs>
          <w:tab w:val="left" w:pos="1440"/>
          <w:tab w:val="left" w:pos="8222"/>
        </w:tabs>
        <w:ind w:left="1080" w:firstLine="0"/>
        <w:rPr>
          <w:rFonts w:cs="Arial"/>
          <w:sz w:val="20"/>
        </w:rPr>
      </w:pPr>
      <w:r w:rsidRPr="007248E5">
        <w:rPr>
          <w:rFonts w:cs="Arial"/>
          <w:sz w:val="20"/>
        </w:rPr>
        <w:t xml:space="preserve">          </w:t>
      </w:r>
      <w:r w:rsidR="00377E88" w:rsidRPr="007248E5">
        <w:rPr>
          <w:rFonts w:cs="Arial"/>
          <w:sz w:val="20"/>
        </w:rPr>
        <w:tab/>
      </w:r>
    </w:p>
    <w:p w:rsidR="008C60F8" w:rsidRPr="007248E5" w:rsidRDefault="008C60F8" w:rsidP="008C60F8">
      <w:pPr>
        <w:pStyle w:val="BodyTextIndent2"/>
        <w:tabs>
          <w:tab w:val="left" w:pos="1440"/>
          <w:tab w:val="left" w:pos="8222"/>
        </w:tabs>
        <w:ind w:left="709" w:firstLine="0"/>
        <w:rPr>
          <w:rFonts w:cs="Arial"/>
          <w:sz w:val="20"/>
        </w:rPr>
      </w:pPr>
      <w:r w:rsidRPr="007248E5">
        <w:rPr>
          <w:rFonts w:cs="Arial"/>
          <w:sz w:val="20"/>
        </w:rPr>
        <w:t xml:space="preserve">                  </w:t>
      </w:r>
      <w:r w:rsidR="0032742F" w:rsidRPr="007248E5">
        <w:rPr>
          <w:rFonts w:cs="Arial"/>
          <w:sz w:val="20"/>
        </w:rPr>
        <w:tab/>
      </w:r>
      <w:r w:rsidR="00CA1BE7" w:rsidRPr="007248E5">
        <w:rPr>
          <w:rFonts w:cs="Arial"/>
          <w:sz w:val="20"/>
        </w:rPr>
        <w:tab/>
      </w:r>
    </w:p>
    <w:p w:rsidR="00377E88" w:rsidRPr="007248E5" w:rsidRDefault="00377E88" w:rsidP="008C60F8">
      <w:pPr>
        <w:pStyle w:val="BodyTextIndent2"/>
        <w:tabs>
          <w:tab w:val="left" w:pos="1440"/>
          <w:tab w:val="left" w:pos="8222"/>
        </w:tabs>
        <w:ind w:left="709" w:firstLine="0"/>
        <w:rPr>
          <w:rFonts w:cs="Arial"/>
          <w:bCs/>
          <w:sz w:val="20"/>
        </w:rPr>
      </w:pPr>
      <w:r w:rsidRPr="007248E5">
        <w:rPr>
          <w:rFonts w:cs="Arial"/>
          <w:bCs/>
          <w:sz w:val="20"/>
        </w:rPr>
        <w:t xml:space="preserve">Interim </w:t>
      </w:r>
      <w:r w:rsidR="0032742F" w:rsidRPr="007248E5">
        <w:rPr>
          <w:rFonts w:cs="Arial"/>
          <w:bCs/>
          <w:sz w:val="20"/>
        </w:rPr>
        <w:t xml:space="preserve">single tier </w:t>
      </w:r>
      <w:r w:rsidRPr="007248E5">
        <w:rPr>
          <w:rFonts w:cs="Arial"/>
          <w:bCs/>
          <w:sz w:val="20"/>
        </w:rPr>
        <w:t xml:space="preserve">dividend of </w:t>
      </w:r>
      <w:r w:rsidR="00F35C38" w:rsidRPr="007248E5">
        <w:rPr>
          <w:rFonts w:cs="Arial"/>
          <w:bCs/>
          <w:sz w:val="20"/>
        </w:rPr>
        <w:t>5</w:t>
      </w:r>
      <w:r w:rsidR="0032742F" w:rsidRPr="007248E5">
        <w:rPr>
          <w:rFonts w:cs="Arial"/>
          <w:bCs/>
          <w:sz w:val="20"/>
        </w:rPr>
        <w:t xml:space="preserve"> </w:t>
      </w:r>
      <w:proofErr w:type="spellStart"/>
      <w:r w:rsidRPr="007248E5">
        <w:rPr>
          <w:rFonts w:cs="Arial"/>
          <w:bCs/>
          <w:sz w:val="20"/>
        </w:rPr>
        <w:t>sen</w:t>
      </w:r>
      <w:proofErr w:type="spellEnd"/>
      <w:r w:rsidRPr="007248E5">
        <w:rPr>
          <w:rFonts w:cs="Arial"/>
          <w:bCs/>
          <w:sz w:val="20"/>
        </w:rPr>
        <w:t xml:space="preserve"> per ordinary share</w:t>
      </w:r>
      <w:r w:rsidR="009A54D0">
        <w:rPr>
          <w:rFonts w:cs="Arial"/>
          <w:bCs/>
          <w:sz w:val="20"/>
        </w:rPr>
        <w:t xml:space="preserve"> in respect of the</w:t>
      </w:r>
      <w:r w:rsidRPr="007248E5">
        <w:rPr>
          <w:rFonts w:cs="Arial"/>
          <w:bCs/>
          <w:sz w:val="20"/>
        </w:rPr>
        <w:tab/>
      </w:r>
      <w:r w:rsidR="0032742F" w:rsidRPr="007248E5">
        <w:rPr>
          <w:rFonts w:cs="Arial"/>
          <w:bCs/>
          <w:sz w:val="20"/>
        </w:rPr>
        <w:t>1</w:t>
      </w:r>
      <w:r w:rsidR="00F35C38" w:rsidRPr="007248E5">
        <w:rPr>
          <w:rFonts w:cs="Arial"/>
          <w:bCs/>
          <w:sz w:val="20"/>
        </w:rPr>
        <w:t>4</w:t>
      </w:r>
      <w:r w:rsidR="0032742F" w:rsidRPr="007248E5">
        <w:rPr>
          <w:rFonts w:cs="Arial"/>
          <w:bCs/>
          <w:sz w:val="20"/>
        </w:rPr>
        <w:t>,8</w:t>
      </w:r>
      <w:r w:rsidR="00F35C38" w:rsidRPr="007248E5">
        <w:rPr>
          <w:rFonts w:cs="Arial"/>
          <w:bCs/>
          <w:sz w:val="20"/>
        </w:rPr>
        <w:t>33</w:t>
      </w:r>
    </w:p>
    <w:p w:rsidR="00377E88" w:rsidRPr="007248E5" w:rsidRDefault="008C60F8" w:rsidP="008C60F8">
      <w:pPr>
        <w:tabs>
          <w:tab w:val="left" w:pos="709"/>
        </w:tabs>
        <w:rPr>
          <w:rFonts w:ascii="Arial" w:hAnsi="Arial" w:cs="Arial"/>
        </w:rPr>
      </w:pPr>
      <w:r w:rsidRPr="007248E5">
        <w:rPr>
          <w:rFonts w:ascii="Arial" w:hAnsi="Arial" w:cs="Arial"/>
        </w:rPr>
        <w:tab/>
      </w:r>
      <w:proofErr w:type="gramStart"/>
      <w:r w:rsidR="00377E88" w:rsidRPr="007248E5">
        <w:rPr>
          <w:rFonts w:ascii="Arial" w:hAnsi="Arial" w:cs="Arial"/>
        </w:rPr>
        <w:t>financial</w:t>
      </w:r>
      <w:proofErr w:type="gramEnd"/>
      <w:r w:rsidR="00377E88" w:rsidRPr="007248E5">
        <w:rPr>
          <w:rFonts w:ascii="Arial" w:hAnsi="Arial" w:cs="Arial"/>
        </w:rPr>
        <w:t xml:space="preserve"> year ended 31 December 20</w:t>
      </w:r>
      <w:r w:rsidR="00696202" w:rsidRPr="007248E5">
        <w:rPr>
          <w:rFonts w:ascii="Arial" w:hAnsi="Arial" w:cs="Arial"/>
        </w:rPr>
        <w:t>10</w:t>
      </w:r>
      <w:r w:rsidR="00377E88" w:rsidRPr="007248E5">
        <w:rPr>
          <w:rFonts w:ascii="Arial" w:hAnsi="Arial" w:cs="Arial"/>
        </w:rPr>
        <w:t>,</w:t>
      </w:r>
      <w:r w:rsidRPr="007248E5">
        <w:rPr>
          <w:rFonts w:ascii="Arial" w:hAnsi="Arial" w:cs="Arial"/>
        </w:rPr>
        <w:t xml:space="preserve"> paid on 18 January 2011</w:t>
      </w:r>
    </w:p>
    <w:p w:rsidR="00272E60" w:rsidRPr="007248E5" w:rsidRDefault="008C60F8" w:rsidP="00377E88">
      <w:pPr>
        <w:tabs>
          <w:tab w:val="left" w:pos="1440"/>
        </w:tabs>
        <w:rPr>
          <w:rFonts w:ascii="Arial" w:hAnsi="Arial" w:cs="Arial"/>
        </w:rPr>
      </w:pPr>
      <w:r w:rsidRPr="007248E5">
        <w:rPr>
          <w:rFonts w:ascii="Arial" w:hAnsi="Arial" w:cs="Arial"/>
        </w:rPr>
        <w:tab/>
      </w:r>
    </w:p>
    <w:p w:rsidR="000700D6" w:rsidRPr="007248E5" w:rsidRDefault="000700D6" w:rsidP="00377E88">
      <w:pPr>
        <w:tabs>
          <w:tab w:val="left" w:pos="1440"/>
        </w:tabs>
        <w:rPr>
          <w:rFonts w:ascii="Arial" w:hAnsi="Arial" w:cs="Arial"/>
        </w:rPr>
      </w:pPr>
    </w:p>
    <w:p w:rsidR="000700D6" w:rsidRPr="007248E5" w:rsidRDefault="000700D6" w:rsidP="008C60F8">
      <w:pPr>
        <w:pStyle w:val="BodyTextIndent2"/>
        <w:tabs>
          <w:tab w:val="left" w:pos="709"/>
          <w:tab w:val="left" w:pos="8222"/>
        </w:tabs>
        <w:ind w:left="709" w:firstLine="0"/>
        <w:rPr>
          <w:rFonts w:cs="Arial"/>
          <w:sz w:val="20"/>
        </w:rPr>
      </w:pPr>
      <w:r w:rsidRPr="007248E5">
        <w:rPr>
          <w:rFonts w:cs="Arial"/>
          <w:sz w:val="20"/>
        </w:rPr>
        <w:t xml:space="preserve">Final single tier dividend of 5 </w:t>
      </w:r>
      <w:proofErr w:type="spellStart"/>
      <w:r w:rsidRPr="007248E5">
        <w:rPr>
          <w:rFonts w:cs="Arial"/>
          <w:sz w:val="20"/>
        </w:rPr>
        <w:t>sen</w:t>
      </w:r>
      <w:proofErr w:type="spellEnd"/>
      <w:r w:rsidRPr="007248E5">
        <w:rPr>
          <w:rFonts w:cs="Arial"/>
          <w:sz w:val="20"/>
        </w:rPr>
        <w:t xml:space="preserve"> per ordinary share </w:t>
      </w:r>
      <w:r w:rsidR="008C60F8" w:rsidRPr="007248E5">
        <w:rPr>
          <w:rFonts w:cs="Arial"/>
          <w:sz w:val="20"/>
        </w:rPr>
        <w:t>in respect of the financial</w:t>
      </w:r>
      <w:r w:rsidRPr="007248E5">
        <w:rPr>
          <w:rFonts w:cs="Arial"/>
          <w:sz w:val="20"/>
        </w:rPr>
        <w:tab/>
        <w:t>14,833</w:t>
      </w:r>
    </w:p>
    <w:p w:rsidR="000700D6" w:rsidRPr="007248E5" w:rsidRDefault="009A54D0" w:rsidP="008C60F8">
      <w:pPr>
        <w:pStyle w:val="BodyTextIndent2"/>
        <w:tabs>
          <w:tab w:val="left" w:pos="1440"/>
          <w:tab w:val="left" w:pos="8222"/>
        </w:tabs>
        <w:ind w:left="709" w:hanging="371"/>
        <w:rPr>
          <w:rFonts w:cs="Arial"/>
          <w:sz w:val="20"/>
        </w:rPr>
      </w:pPr>
      <w:r>
        <w:rPr>
          <w:rFonts w:cs="Arial"/>
          <w:sz w:val="20"/>
        </w:rPr>
        <w:tab/>
      </w:r>
      <w:proofErr w:type="gramStart"/>
      <w:r w:rsidR="000700D6" w:rsidRPr="007248E5">
        <w:rPr>
          <w:rFonts w:cs="Arial"/>
          <w:sz w:val="20"/>
        </w:rPr>
        <w:t>year</w:t>
      </w:r>
      <w:proofErr w:type="gramEnd"/>
      <w:r w:rsidR="000700D6" w:rsidRPr="007248E5">
        <w:rPr>
          <w:rFonts w:cs="Arial"/>
          <w:sz w:val="20"/>
        </w:rPr>
        <w:t xml:space="preserve"> ended 31 December 2010,</w:t>
      </w:r>
      <w:r w:rsidR="008C60F8" w:rsidRPr="007248E5">
        <w:rPr>
          <w:rFonts w:cs="Arial"/>
          <w:sz w:val="20"/>
        </w:rPr>
        <w:t xml:space="preserve">  paid on 15 July 2011</w:t>
      </w:r>
    </w:p>
    <w:p w:rsidR="000700D6" w:rsidRPr="007248E5" w:rsidRDefault="000700D6" w:rsidP="000700D6">
      <w:pPr>
        <w:pStyle w:val="BodyTextIndent2"/>
        <w:tabs>
          <w:tab w:val="left" w:pos="1440"/>
          <w:tab w:val="left" w:pos="8222"/>
        </w:tabs>
        <w:ind w:left="1080" w:firstLine="0"/>
        <w:rPr>
          <w:rFonts w:cs="Arial"/>
          <w:sz w:val="20"/>
        </w:rPr>
      </w:pPr>
    </w:p>
    <w:p w:rsidR="008C60F8" w:rsidRPr="007248E5" w:rsidRDefault="008C60F8" w:rsidP="000700D6">
      <w:pPr>
        <w:pStyle w:val="BodyTextIndent2"/>
        <w:tabs>
          <w:tab w:val="left" w:pos="1440"/>
          <w:tab w:val="left" w:pos="8222"/>
        </w:tabs>
        <w:ind w:left="1080" w:firstLine="0"/>
        <w:rPr>
          <w:rFonts w:cs="Arial"/>
          <w:sz w:val="20"/>
        </w:rPr>
      </w:pPr>
    </w:p>
    <w:p w:rsidR="000700D6" w:rsidRPr="007248E5" w:rsidRDefault="00D136B9" w:rsidP="008C60F8">
      <w:pPr>
        <w:tabs>
          <w:tab w:val="left" w:pos="1440"/>
        </w:tabs>
        <w:ind w:left="709"/>
        <w:rPr>
          <w:rFonts w:ascii="Arial" w:hAnsi="Arial" w:cs="Arial"/>
        </w:rPr>
      </w:pPr>
      <w:r w:rsidRPr="007248E5">
        <w:rPr>
          <w:rFonts w:ascii="Arial" w:hAnsi="Arial" w:cs="Arial"/>
        </w:rPr>
        <w:t>In respect of the financial year ending 31 December 2011, the Board of Directors in accordance with the resolution of the directors on 23 November 2011 has approved the following:</w:t>
      </w:r>
    </w:p>
    <w:p w:rsidR="00D136B9" w:rsidRPr="007248E5" w:rsidRDefault="008C60F8" w:rsidP="00377E88">
      <w:pPr>
        <w:tabs>
          <w:tab w:val="left" w:pos="1440"/>
        </w:tabs>
        <w:rPr>
          <w:rFonts w:ascii="Arial" w:hAnsi="Arial" w:cs="Arial"/>
        </w:rPr>
      </w:pPr>
      <w:r w:rsidRPr="007248E5">
        <w:rPr>
          <w:rFonts w:ascii="Arial" w:hAnsi="Arial" w:cs="Arial"/>
        </w:rPr>
        <w:t xml:space="preserve">   </w:t>
      </w:r>
    </w:p>
    <w:p w:rsidR="00D136B9" w:rsidRPr="007248E5" w:rsidRDefault="00D136B9" w:rsidP="00377E88">
      <w:pPr>
        <w:tabs>
          <w:tab w:val="left" w:pos="1440"/>
        </w:tabs>
        <w:rPr>
          <w:rFonts w:ascii="Arial" w:hAnsi="Arial" w:cs="Arial"/>
          <w:b/>
          <w:u w:val="single"/>
        </w:rPr>
      </w:pPr>
      <w:r w:rsidRPr="007248E5">
        <w:rPr>
          <w:rFonts w:ascii="Arial" w:hAnsi="Arial" w:cs="Arial"/>
        </w:rPr>
        <w:tab/>
      </w:r>
      <w:r w:rsidRPr="007248E5">
        <w:rPr>
          <w:rFonts w:ascii="Arial" w:hAnsi="Arial" w:cs="Arial"/>
        </w:rPr>
        <w:tab/>
      </w:r>
      <w:r w:rsidRPr="007248E5">
        <w:rPr>
          <w:rFonts w:ascii="Arial" w:hAnsi="Arial" w:cs="Arial"/>
        </w:rPr>
        <w:tab/>
      </w:r>
      <w:r w:rsidRPr="007248E5">
        <w:rPr>
          <w:rFonts w:ascii="Arial" w:hAnsi="Arial" w:cs="Arial"/>
        </w:rPr>
        <w:tab/>
      </w:r>
      <w:r w:rsidRPr="007248E5">
        <w:rPr>
          <w:rFonts w:ascii="Arial" w:hAnsi="Arial" w:cs="Arial"/>
        </w:rPr>
        <w:tab/>
      </w:r>
      <w:r w:rsidRPr="007248E5">
        <w:rPr>
          <w:rFonts w:ascii="Arial" w:hAnsi="Arial" w:cs="Arial"/>
        </w:rPr>
        <w:tab/>
      </w:r>
      <w:r w:rsidRPr="007248E5">
        <w:rPr>
          <w:rFonts w:ascii="Arial" w:hAnsi="Arial" w:cs="Arial"/>
        </w:rPr>
        <w:tab/>
      </w:r>
      <w:r w:rsidRPr="007248E5">
        <w:rPr>
          <w:rFonts w:ascii="Arial" w:hAnsi="Arial" w:cs="Arial"/>
        </w:rPr>
        <w:tab/>
      </w:r>
      <w:r w:rsidR="00022117" w:rsidRPr="007248E5">
        <w:rPr>
          <w:rFonts w:ascii="Arial" w:hAnsi="Arial" w:cs="Arial"/>
        </w:rPr>
        <w:tab/>
      </w:r>
      <w:r w:rsidR="008C60F8" w:rsidRPr="007248E5">
        <w:rPr>
          <w:rFonts w:ascii="Arial" w:hAnsi="Arial" w:cs="Arial"/>
        </w:rPr>
        <w:tab/>
        <w:t xml:space="preserve">     </w:t>
      </w:r>
      <w:r w:rsidRPr="007248E5">
        <w:rPr>
          <w:rFonts w:ascii="Arial" w:hAnsi="Arial" w:cs="Arial"/>
          <w:b/>
          <w:u w:val="single"/>
        </w:rPr>
        <w:t>RM’000</w:t>
      </w:r>
    </w:p>
    <w:p w:rsidR="00022117" w:rsidRPr="007248E5" w:rsidRDefault="008C60F8" w:rsidP="004B0184">
      <w:pPr>
        <w:pStyle w:val="Heading2"/>
        <w:numPr>
          <w:ilvl w:val="0"/>
          <w:numId w:val="0"/>
        </w:numPr>
        <w:tabs>
          <w:tab w:val="left" w:pos="720"/>
        </w:tabs>
        <w:rPr>
          <w:rFonts w:cs="Arial"/>
          <w:b w:val="0"/>
          <w:color w:val="000000"/>
          <w:sz w:val="20"/>
          <w:u w:val="none"/>
        </w:rPr>
      </w:pPr>
      <w:r w:rsidRPr="007248E5">
        <w:rPr>
          <w:rFonts w:cs="Arial"/>
          <w:color w:val="000000"/>
          <w:sz w:val="20"/>
          <w:u w:val="none"/>
        </w:rPr>
        <w:tab/>
      </w:r>
      <w:r w:rsidRPr="009A54D0">
        <w:rPr>
          <w:rFonts w:cs="Arial"/>
          <w:b w:val="0"/>
          <w:color w:val="000000"/>
          <w:sz w:val="20"/>
          <w:u w:val="none"/>
        </w:rPr>
        <w:t>I</w:t>
      </w:r>
      <w:r w:rsidR="00022117" w:rsidRPr="007248E5">
        <w:rPr>
          <w:rFonts w:cs="Arial"/>
          <w:b w:val="0"/>
          <w:color w:val="000000"/>
          <w:sz w:val="20"/>
          <w:u w:val="none"/>
        </w:rPr>
        <w:t xml:space="preserve">nterim single tier dividend of </w:t>
      </w:r>
      <w:r w:rsidR="00D70DBC" w:rsidRPr="007248E5">
        <w:rPr>
          <w:rFonts w:cs="Arial"/>
          <w:b w:val="0"/>
          <w:color w:val="000000"/>
          <w:sz w:val="20"/>
          <w:u w:val="none"/>
        </w:rPr>
        <w:t>4</w:t>
      </w:r>
      <w:r w:rsidR="00022117" w:rsidRPr="007248E5">
        <w:rPr>
          <w:rFonts w:cs="Arial"/>
          <w:b w:val="0"/>
          <w:color w:val="000000"/>
          <w:sz w:val="20"/>
          <w:u w:val="none"/>
        </w:rPr>
        <w:t xml:space="preserve"> </w:t>
      </w:r>
      <w:proofErr w:type="spellStart"/>
      <w:r w:rsidR="00022117" w:rsidRPr="007248E5">
        <w:rPr>
          <w:rFonts w:cs="Arial"/>
          <w:b w:val="0"/>
          <w:color w:val="000000"/>
          <w:sz w:val="20"/>
          <w:u w:val="none"/>
        </w:rPr>
        <w:t>sen</w:t>
      </w:r>
      <w:proofErr w:type="spellEnd"/>
      <w:r w:rsidR="00022117" w:rsidRPr="007248E5">
        <w:rPr>
          <w:rFonts w:cs="Arial"/>
          <w:b w:val="0"/>
          <w:color w:val="000000"/>
          <w:sz w:val="20"/>
          <w:u w:val="none"/>
        </w:rPr>
        <w:t xml:space="preserve"> per ordinary share       </w:t>
      </w:r>
      <w:r w:rsidR="00002BF3">
        <w:rPr>
          <w:rFonts w:cs="Arial"/>
          <w:b w:val="0"/>
          <w:color w:val="000000"/>
          <w:sz w:val="20"/>
          <w:u w:val="none"/>
        </w:rPr>
        <w:tab/>
      </w:r>
      <w:r w:rsidRPr="007248E5">
        <w:rPr>
          <w:rFonts w:cs="Arial"/>
          <w:b w:val="0"/>
          <w:color w:val="000000"/>
          <w:sz w:val="20"/>
          <w:u w:val="none"/>
        </w:rPr>
        <w:tab/>
      </w:r>
      <w:r w:rsidRPr="007248E5">
        <w:rPr>
          <w:rFonts w:cs="Arial"/>
          <w:b w:val="0"/>
          <w:color w:val="000000"/>
          <w:sz w:val="20"/>
          <w:u w:val="none"/>
        </w:rPr>
        <w:tab/>
        <w:t xml:space="preserve">      </w:t>
      </w:r>
      <w:r w:rsidR="00D70DBC" w:rsidRPr="007248E5">
        <w:rPr>
          <w:rFonts w:cs="Arial"/>
          <w:b w:val="0"/>
          <w:color w:val="000000"/>
          <w:sz w:val="20"/>
          <w:u w:val="none"/>
        </w:rPr>
        <w:t>11</w:t>
      </w:r>
      <w:r w:rsidR="00022117" w:rsidRPr="007248E5">
        <w:rPr>
          <w:rFonts w:cs="Arial"/>
          <w:b w:val="0"/>
          <w:color w:val="000000"/>
          <w:sz w:val="20"/>
          <w:u w:val="none"/>
        </w:rPr>
        <w:t>,</w:t>
      </w:r>
      <w:r w:rsidR="00D70DBC" w:rsidRPr="007248E5">
        <w:rPr>
          <w:rFonts w:cs="Arial"/>
          <w:b w:val="0"/>
          <w:color w:val="000000"/>
          <w:sz w:val="20"/>
          <w:u w:val="none"/>
        </w:rPr>
        <w:t>867</w:t>
      </w:r>
    </w:p>
    <w:p w:rsidR="00022117" w:rsidRPr="007248E5" w:rsidRDefault="008C60F8" w:rsidP="004B0184">
      <w:pPr>
        <w:pStyle w:val="Heading2"/>
        <w:numPr>
          <w:ilvl w:val="0"/>
          <w:numId w:val="0"/>
        </w:numPr>
        <w:tabs>
          <w:tab w:val="left" w:pos="720"/>
        </w:tabs>
        <w:rPr>
          <w:rFonts w:cs="Arial"/>
          <w:b w:val="0"/>
          <w:color w:val="000000"/>
          <w:sz w:val="20"/>
          <w:u w:val="none"/>
        </w:rPr>
      </w:pPr>
      <w:r w:rsidRPr="007248E5">
        <w:rPr>
          <w:rFonts w:cs="Arial"/>
          <w:b w:val="0"/>
          <w:color w:val="000000"/>
          <w:sz w:val="20"/>
          <w:u w:val="none"/>
        </w:rPr>
        <w:tab/>
      </w:r>
      <w:proofErr w:type="gramStart"/>
      <w:r w:rsidRPr="007248E5">
        <w:rPr>
          <w:rFonts w:cs="Arial"/>
          <w:b w:val="0"/>
          <w:color w:val="000000"/>
          <w:sz w:val="20"/>
          <w:u w:val="none"/>
        </w:rPr>
        <w:t>paid</w:t>
      </w:r>
      <w:proofErr w:type="gramEnd"/>
      <w:r w:rsidRPr="007248E5">
        <w:rPr>
          <w:rFonts w:cs="Arial"/>
          <w:b w:val="0"/>
          <w:color w:val="000000"/>
          <w:sz w:val="20"/>
          <w:u w:val="none"/>
        </w:rPr>
        <w:t xml:space="preserve"> on 9 January 2012</w:t>
      </w:r>
    </w:p>
    <w:p w:rsidR="008C60F8" w:rsidRPr="007248E5" w:rsidRDefault="008C60F8" w:rsidP="008C60F8">
      <w:pPr>
        <w:rPr>
          <w:rFonts w:ascii="Arial" w:hAnsi="Arial" w:cs="Arial"/>
        </w:rPr>
      </w:pPr>
    </w:p>
    <w:p w:rsidR="008C60F8" w:rsidRPr="007248E5" w:rsidRDefault="008C60F8" w:rsidP="008C60F8">
      <w:pPr>
        <w:rPr>
          <w:rFonts w:ascii="Arial" w:hAnsi="Arial" w:cs="Arial"/>
        </w:rPr>
      </w:pPr>
    </w:p>
    <w:p w:rsidR="008C60F8" w:rsidRPr="007248E5" w:rsidRDefault="008C60F8" w:rsidP="008C60F8">
      <w:pPr>
        <w:rPr>
          <w:rFonts w:ascii="Arial" w:hAnsi="Arial" w:cs="Arial"/>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Pr="00002BF3" w:rsidRDefault="00002BF3" w:rsidP="004B0184">
      <w:pPr>
        <w:pStyle w:val="Heading2"/>
        <w:numPr>
          <w:ilvl w:val="0"/>
          <w:numId w:val="0"/>
        </w:numPr>
        <w:tabs>
          <w:tab w:val="left" w:pos="720"/>
        </w:tabs>
        <w:rPr>
          <w:rFonts w:cs="Arial"/>
          <w:b w:val="0"/>
          <w:i/>
          <w:color w:val="FFFFFF"/>
          <w:sz w:val="20"/>
          <w:u w:val="none"/>
        </w:rPr>
      </w:pPr>
    </w:p>
    <w:p w:rsidR="00002BF3" w:rsidRPr="00002BF3" w:rsidRDefault="00002BF3" w:rsidP="00002BF3">
      <w:pPr>
        <w:pStyle w:val="Heading2"/>
        <w:numPr>
          <w:ilvl w:val="0"/>
          <w:numId w:val="0"/>
        </w:numPr>
        <w:tabs>
          <w:tab w:val="left" w:pos="720"/>
        </w:tabs>
        <w:jc w:val="center"/>
        <w:rPr>
          <w:rFonts w:cs="Arial"/>
          <w:b w:val="0"/>
          <w:i/>
          <w:sz w:val="20"/>
          <w:u w:val="none"/>
        </w:rPr>
      </w:pPr>
      <w:r w:rsidRPr="00002BF3">
        <w:rPr>
          <w:rFonts w:cs="Arial"/>
          <w:b w:val="0"/>
          <w:i/>
          <w:color w:val="FFFFFF"/>
          <w:sz w:val="20"/>
          <w:u w:val="none"/>
        </w:rPr>
        <w:t>(</w:t>
      </w:r>
      <w:r w:rsidRPr="00002BF3">
        <w:rPr>
          <w:rFonts w:cs="Arial"/>
          <w:b w:val="0"/>
          <w:i/>
          <w:sz w:val="20"/>
          <w:u w:val="none"/>
        </w:rPr>
        <w:t>(The remainder of this page has been intentionally left blank)</w:t>
      </w:r>
    </w:p>
    <w:p w:rsidR="00002BF3" w:rsidRPr="00002BF3" w:rsidRDefault="00002BF3" w:rsidP="004B0184">
      <w:pPr>
        <w:pStyle w:val="Heading2"/>
        <w:numPr>
          <w:ilvl w:val="0"/>
          <w:numId w:val="0"/>
        </w:numPr>
        <w:tabs>
          <w:tab w:val="left" w:pos="720"/>
        </w:tabs>
        <w:rPr>
          <w:rFonts w:cs="Arial"/>
          <w:b w:val="0"/>
          <w:i/>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002BF3" w:rsidRDefault="00002BF3" w:rsidP="004B0184">
      <w:pPr>
        <w:pStyle w:val="Heading2"/>
        <w:numPr>
          <w:ilvl w:val="0"/>
          <w:numId w:val="0"/>
        </w:numPr>
        <w:tabs>
          <w:tab w:val="left" w:pos="720"/>
        </w:tabs>
        <w:rPr>
          <w:rFonts w:cs="Arial"/>
          <w:color w:val="FFFFFF"/>
          <w:sz w:val="20"/>
          <w:u w:val="none"/>
        </w:rPr>
      </w:pPr>
    </w:p>
    <w:p w:rsidR="00B05780" w:rsidRPr="007248E5" w:rsidRDefault="00002BF3" w:rsidP="004B0184">
      <w:pPr>
        <w:pStyle w:val="Heading2"/>
        <w:numPr>
          <w:ilvl w:val="0"/>
          <w:numId w:val="0"/>
        </w:numPr>
        <w:tabs>
          <w:tab w:val="left" w:pos="720"/>
        </w:tabs>
        <w:rPr>
          <w:rFonts w:cs="Arial"/>
          <w:b w:val="0"/>
          <w:color w:val="FFFFFF"/>
          <w:sz w:val="20"/>
          <w:u w:val="none"/>
        </w:rPr>
      </w:pPr>
      <w:r>
        <w:rPr>
          <w:rFonts w:cs="Arial"/>
          <w:color w:val="FFFFFF"/>
          <w:sz w:val="20"/>
          <w:u w:val="none"/>
        </w:rPr>
        <w:br w:type="page"/>
      </w:r>
      <w:r w:rsidR="00B05780" w:rsidRPr="007248E5">
        <w:rPr>
          <w:rFonts w:cs="Arial"/>
          <w:color w:val="FFFFFF"/>
          <w:sz w:val="20"/>
          <w:u w:val="none"/>
        </w:rPr>
        <w:lastRenderedPageBreak/>
        <w:t>BURSA</w:t>
      </w:r>
    </w:p>
    <w:tbl>
      <w:tblPr>
        <w:tblW w:w="9606" w:type="dxa"/>
        <w:shd w:val="clear" w:color="auto" w:fill="632423"/>
        <w:tblLook w:val="04A0"/>
      </w:tblPr>
      <w:tblGrid>
        <w:gridCol w:w="1101"/>
        <w:gridCol w:w="8505"/>
      </w:tblGrid>
      <w:tr w:rsidR="004B0184" w:rsidRPr="007248E5" w:rsidTr="009905CE">
        <w:tc>
          <w:tcPr>
            <w:tcW w:w="1101" w:type="dxa"/>
            <w:shd w:val="clear" w:color="auto" w:fill="632423"/>
          </w:tcPr>
          <w:p w:rsidR="004B0184" w:rsidRPr="007248E5" w:rsidRDefault="004B0184" w:rsidP="00D1598F">
            <w:pPr>
              <w:pStyle w:val="BodyText2"/>
              <w:rPr>
                <w:rFonts w:cs="Arial"/>
                <w:color w:val="FFFFFF"/>
                <w:sz w:val="20"/>
              </w:rPr>
            </w:pPr>
            <w:r w:rsidRPr="007248E5">
              <w:rPr>
                <w:rFonts w:cs="Arial"/>
                <w:color w:val="FFFFFF"/>
                <w:sz w:val="20"/>
              </w:rPr>
              <w:t>PART B -</w:t>
            </w:r>
          </w:p>
        </w:tc>
        <w:tc>
          <w:tcPr>
            <w:tcW w:w="8505" w:type="dxa"/>
            <w:shd w:val="clear" w:color="auto" w:fill="632423"/>
          </w:tcPr>
          <w:p w:rsidR="004B0184" w:rsidRPr="007248E5" w:rsidRDefault="004B0184" w:rsidP="009905CE">
            <w:pPr>
              <w:pStyle w:val="BodyText2"/>
              <w:rPr>
                <w:rFonts w:cs="Arial"/>
                <w:color w:val="FFFFFF"/>
                <w:sz w:val="20"/>
                <w:u w:val="single"/>
              </w:rPr>
            </w:pPr>
            <w:r w:rsidRPr="007248E5">
              <w:rPr>
                <w:rFonts w:cs="Arial"/>
                <w:color w:val="FFFFFF"/>
                <w:sz w:val="20"/>
              </w:rPr>
              <w:t>EXPLANATORY NOTES PURSUANT TO PART A OF APP</w:t>
            </w:r>
            <w:r w:rsidR="009905CE">
              <w:rPr>
                <w:rFonts w:cs="Arial"/>
                <w:color w:val="FFFFFF"/>
                <w:sz w:val="20"/>
              </w:rPr>
              <w:t>’</w:t>
            </w:r>
            <w:r w:rsidRPr="007248E5">
              <w:rPr>
                <w:rFonts w:cs="Arial"/>
                <w:color w:val="FFFFFF"/>
                <w:sz w:val="20"/>
              </w:rPr>
              <w:t>X 9B OF THE MAIN MARKET</w:t>
            </w:r>
          </w:p>
        </w:tc>
      </w:tr>
      <w:tr w:rsidR="004B0184" w:rsidRPr="007248E5" w:rsidTr="009905CE">
        <w:tc>
          <w:tcPr>
            <w:tcW w:w="1101" w:type="dxa"/>
            <w:shd w:val="clear" w:color="auto" w:fill="632423"/>
          </w:tcPr>
          <w:p w:rsidR="004B0184" w:rsidRPr="007248E5" w:rsidRDefault="004B0184" w:rsidP="00D1598F">
            <w:pPr>
              <w:pStyle w:val="BodyText2"/>
              <w:rPr>
                <w:rFonts w:cs="Arial"/>
                <w:color w:val="FFFFFF"/>
                <w:sz w:val="20"/>
                <w:u w:val="single"/>
              </w:rPr>
            </w:pPr>
          </w:p>
        </w:tc>
        <w:tc>
          <w:tcPr>
            <w:tcW w:w="8505" w:type="dxa"/>
            <w:shd w:val="clear" w:color="auto" w:fill="632423"/>
          </w:tcPr>
          <w:p w:rsidR="004B0184" w:rsidRPr="007248E5" w:rsidRDefault="004B0184" w:rsidP="00D1598F">
            <w:pPr>
              <w:pStyle w:val="BodyText2"/>
              <w:rPr>
                <w:rFonts w:cs="Arial"/>
                <w:color w:val="FFFFFF"/>
                <w:sz w:val="20"/>
                <w:u w:val="single"/>
              </w:rPr>
            </w:pPr>
            <w:r w:rsidRPr="007248E5">
              <w:rPr>
                <w:rFonts w:cs="Arial"/>
                <w:color w:val="FFFFFF"/>
                <w:sz w:val="20"/>
              </w:rPr>
              <w:t>LISTING REQUIREMENT OF BURSA MALAYSIA SECURITES BERHAD BURSA</w:t>
            </w:r>
          </w:p>
        </w:tc>
      </w:tr>
    </w:tbl>
    <w:p w:rsidR="008A633A" w:rsidRPr="007248E5" w:rsidRDefault="008A633A" w:rsidP="00D1598F">
      <w:pPr>
        <w:pStyle w:val="BodyText2"/>
        <w:rPr>
          <w:rFonts w:cs="Arial"/>
          <w:sz w:val="20"/>
          <w:u w:val="single"/>
        </w:rPr>
      </w:pPr>
    </w:p>
    <w:p w:rsidR="00D1598F" w:rsidRPr="007248E5" w:rsidRDefault="00D1598F" w:rsidP="00D1598F">
      <w:pPr>
        <w:pStyle w:val="BodyText2"/>
        <w:rPr>
          <w:rFonts w:cs="Arial"/>
          <w:b w:val="0"/>
          <w:bCs w:val="0"/>
          <w:sz w:val="20"/>
        </w:rPr>
      </w:pPr>
    </w:p>
    <w:p w:rsidR="008A633A" w:rsidRPr="007248E5" w:rsidRDefault="00637910" w:rsidP="00644EDA">
      <w:pPr>
        <w:ind w:left="709" w:hanging="709"/>
        <w:jc w:val="both"/>
        <w:rPr>
          <w:rFonts w:ascii="Arial" w:hAnsi="Arial" w:cs="Arial"/>
          <w:b/>
          <w:bCs/>
        </w:rPr>
      </w:pPr>
      <w:r w:rsidRPr="007248E5">
        <w:rPr>
          <w:rFonts w:ascii="Arial" w:hAnsi="Arial" w:cs="Arial"/>
          <w:b/>
          <w:bCs/>
        </w:rPr>
        <w:t>14</w:t>
      </w:r>
      <w:r w:rsidR="00DA1B27" w:rsidRPr="007248E5">
        <w:rPr>
          <w:rFonts w:ascii="Arial" w:hAnsi="Arial" w:cs="Arial"/>
          <w:b/>
          <w:bCs/>
        </w:rPr>
        <w:t>.</w:t>
      </w:r>
      <w:r w:rsidR="00DA1B27" w:rsidRPr="007248E5">
        <w:rPr>
          <w:rFonts w:ascii="Arial" w:hAnsi="Arial" w:cs="Arial"/>
          <w:b/>
          <w:bCs/>
        </w:rPr>
        <w:tab/>
      </w:r>
      <w:r w:rsidR="00497AFD" w:rsidRPr="007248E5">
        <w:rPr>
          <w:rFonts w:ascii="Arial" w:hAnsi="Arial" w:cs="Arial"/>
          <w:b/>
          <w:bCs/>
        </w:rPr>
        <w:t xml:space="preserve">Analysis </w:t>
      </w:r>
      <w:r w:rsidR="00DA1B27" w:rsidRPr="007248E5">
        <w:rPr>
          <w:rFonts w:ascii="Arial" w:hAnsi="Arial" w:cs="Arial"/>
          <w:b/>
          <w:bCs/>
        </w:rPr>
        <w:t xml:space="preserve">of </w:t>
      </w:r>
      <w:r w:rsidR="00DB0E94" w:rsidRPr="007248E5">
        <w:rPr>
          <w:rFonts w:ascii="Arial" w:hAnsi="Arial" w:cs="Arial"/>
          <w:b/>
          <w:bCs/>
        </w:rPr>
        <w:t xml:space="preserve">Unaudited </w:t>
      </w:r>
      <w:r w:rsidR="00DA1B27" w:rsidRPr="007248E5">
        <w:rPr>
          <w:rFonts w:ascii="Arial" w:hAnsi="Arial" w:cs="Arial"/>
          <w:b/>
          <w:bCs/>
        </w:rPr>
        <w:t>Performance of the Group</w:t>
      </w:r>
      <w:r w:rsidR="008C60F8" w:rsidRPr="007248E5">
        <w:rPr>
          <w:rFonts w:ascii="Arial" w:hAnsi="Arial" w:cs="Arial"/>
          <w:b/>
          <w:bCs/>
        </w:rPr>
        <w:t xml:space="preserve"> by </w:t>
      </w:r>
      <w:r w:rsidR="00644EDA" w:rsidRPr="007248E5">
        <w:rPr>
          <w:rFonts w:ascii="Arial" w:hAnsi="Arial" w:cs="Arial"/>
          <w:b/>
          <w:bCs/>
        </w:rPr>
        <w:t xml:space="preserve">Operating </w:t>
      </w:r>
      <w:r w:rsidR="008C60F8" w:rsidRPr="007248E5">
        <w:rPr>
          <w:rFonts w:ascii="Arial" w:hAnsi="Arial" w:cs="Arial"/>
          <w:b/>
          <w:bCs/>
        </w:rPr>
        <w:t>Segment</w:t>
      </w:r>
      <w:r w:rsidR="00497AFD" w:rsidRPr="007248E5">
        <w:rPr>
          <w:rFonts w:ascii="Arial" w:hAnsi="Arial" w:cs="Arial"/>
          <w:b/>
          <w:bCs/>
        </w:rPr>
        <w:t xml:space="preserve"> (Amendment to</w:t>
      </w:r>
      <w:r w:rsidR="00644EDA" w:rsidRPr="007248E5">
        <w:rPr>
          <w:rFonts w:ascii="Arial" w:hAnsi="Arial" w:cs="Arial"/>
          <w:b/>
          <w:bCs/>
        </w:rPr>
        <w:t xml:space="preserve"> Main Market Listing Requirement effective financial quarter ended 31 Dec 2011)</w:t>
      </w:r>
      <w:r w:rsidR="00497AFD" w:rsidRPr="007248E5">
        <w:rPr>
          <w:rFonts w:ascii="Arial" w:hAnsi="Arial" w:cs="Arial"/>
          <w:b/>
          <w:bCs/>
        </w:rPr>
        <w:t xml:space="preserve"> </w:t>
      </w:r>
    </w:p>
    <w:p w:rsidR="00771C01" w:rsidRPr="007248E5" w:rsidRDefault="00771C01" w:rsidP="00644EDA">
      <w:pPr>
        <w:ind w:left="709" w:hanging="709"/>
        <w:jc w:val="both"/>
        <w:rPr>
          <w:rFonts w:ascii="Arial" w:hAnsi="Arial" w:cs="Arial"/>
          <w:b/>
          <w:bCs/>
        </w:rPr>
      </w:pPr>
    </w:p>
    <w:p w:rsidR="00771C01" w:rsidRPr="007248E5" w:rsidRDefault="00771C01" w:rsidP="00644EDA">
      <w:pPr>
        <w:ind w:left="709" w:hanging="709"/>
        <w:jc w:val="both"/>
        <w:rPr>
          <w:rFonts w:ascii="Arial" w:hAnsi="Arial" w:cs="Arial"/>
          <w:bCs/>
        </w:rPr>
      </w:pPr>
      <w:r w:rsidRPr="007248E5">
        <w:rPr>
          <w:rFonts w:ascii="Arial" w:hAnsi="Arial" w:cs="Arial"/>
          <w:b/>
          <w:bCs/>
        </w:rPr>
        <w:tab/>
      </w:r>
      <w:r w:rsidRPr="007248E5">
        <w:rPr>
          <w:rFonts w:ascii="Arial" w:hAnsi="Arial" w:cs="Arial"/>
          <w:bCs/>
        </w:rPr>
        <w:t xml:space="preserve">With </w:t>
      </w:r>
      <w:r w:rsidR="008C352C" w:rsidRPr="007248E5">
        <w:rPr>
          <w:rFonts w:ascii="Arial" w:hAnsi="Arial" w:cs="Arial"/>
          <w:bCs/>
        </w:rPr>
        <w:t xml:space="preserve">an additional </w:t>
      </w:r>
      <w:r w:rsidRPr="007248E5">
        <w:rPr>
          <w:rFonts w:ascii="Arial" w:hAnsi="Arial" w:cs="Arial"/>
          <w:bCs/>
        </w:rPr>
        <w:t>RM249 million</w:t>
      </w:r>
      <w:r w:rsidR="008C352C" w:rsidRPr="007248E5">
        <w:rPr>
          <w:rFonts w:ascii="Arial" w:hAnsi="Arial" w:cs="Arial"/>
          <w:bCs/>
        </w:rPr>
        <w:t xml:space="preserve"> recorded</w:t>
      </w:r>
      <w:r w:rsidRPr="007248E5">
        <w:rPr>
          <w:rFonts w:ascii="Arial" w:hAnsi="Arial" w:cs="Arial"/>
          <w:bCs/>
        </w:rPr>
        <w:t xml:space="preserve"> for the 4</w:t>
      </w:r>
      <w:r w:rsidRPr="007248E5">
        <w:rPr>
          <w:rFonts w:ascii="Arial" w:hAnsi="Arial" w:cs="Arial"/>
          <w:bCs/>
          <w:vertAlign w:val="superscript"/>
        </w:rPr>
        <w:t>th</w:t>
      </w:r>
      <w:r w:rsidRPr="007248E5">
        <w:rPr>
          <w:rFonts w:ascii="Arial" w:hAnsi="Arial" w:cs="Arial"/>
          <w:bCs/>
        </w:rPr>
        <w:t xml:space="preserve"> quart</w:t>
      </w:r>
      <w:r w:rsidR="00DB0E94" w:rsidRPr="007248E5">
        <w:rPr>
          <w:rFonts w:ascii="Arial" w:hAnsi="Arial" w:cs="Arial"/>
          <w:bCs/>
        </w:rPr>
        <w:t>er of 2011,  the Group’s turnover for the financial year ended 31 Dec 2011 stood at RM699 million.   Profit before tax (PBT) and Profit after taxation and minority interest (PATAMI) for the 4</w:t>
      </w:r>
      <w:r w:rsidR="00DB0E94" w:rsidRPr="007248E5">
        <w:rPr>
          <w:rFonts w:ascii="Arial" w:hAnsi="Arial" w:cs="Arial"/>
          <w:bCs/>
          <w:vertAlign w:val="superscript"/>
        </w:rPr>
        <w:t>th</w:t>
      </w:r>
      <w:r w:rsidR="00DB0E94" w:rsidRPr="007248E5">
        <w:rPr>
          <w:rFonts w:ascii="Arial" w:hAnsi="Arial" w:cs="Arial"/>
          <w:bCs/>
        </w:rPr>
        <w:t xml:space="preserve"> quarter 2011 stood at RM22.6 million and RM11.6 million respective</w:t>
      </w:r>
      <w:r w:rsidR="00A62032">
        <w:rPr>
          <w:rFonts w:ascii="Arial" w:hAnsi="Arial" w:cs="Arial"/>
          <w:bCs/>
        </w:rPr>
        <w:t>ly</w:t>
      </w:r>
      <w:r w:rsidR="00DB0E94" w:rsidRPr="007248E5">
        <w:rPr>
          <w:rFonts w:ascii="Arial" w:hAnsi="Arial" w:cs="Arial"/>
          <w:bCs/>
        </w:rPr>
        <w:t xml:space="preserve">, which was quite close to the corresponding quarter last year of RM22.8 million and RM11.7 million respectively.     </w:t>
      </w:r>
    </w:p>
    <w:p w:rsidR="00771C01" w:rsidRPr="007248E5" w:rsidRDefault="00771C01" w:rsidP="00644EDA">
      <w:pPr>
        <w:ind w:left="709" w:hanging="709"/>
        <w:jc w:val="both"/>
        <w:rPr>
          <w:rFonts w:ascii="Arial" w:hAnsi="Arial" w:cs="Arial"/>
          <w:b/>
          <w:bCs/>
        </w:rPr>
      </w:pPr>
    </w:p>
    <w:p w:rsidR="00DB0E94" w:rsidRPr="007248E5" w:rsidRDefault="00DB0E94" w:rsidP="00644EDA">
      <w:pPr>
        <w:ind w:left="709" w:hanging="709"/>
        <w:jc w:val="both"/>
        <w:rPr>
          <w:rFonts w:ascii="Arial" w:hAnsi="Arial" w:cs="Arial"/>
          <w:bCs/>
        </w:rPr>
      </w:pPr>
      <w:r w:rsidRPr="007248E5">
        <w:rPr>
          <w:rFonts w:ascii="Arial" w:hAnsi="Arial" w:cs="Arial"/>
          <w:b/>
          <w:bCs/>
        </w:rPr>
        <w:tab/>
      </w:r>
      <w:proofErr w:type="gramStart"/>
      <w:r w:rsidR="00350635">
        <w:rPr>
          <w:rFonts w:ascii="Arial" w:hAnsi="Arial" w:cs="Arial"/>
          <w:bCs/>
        </w:rPr>
        <w:t xml:space="preserve">Analysis of results by Operating Segment </w:t>
      </w:r>
      <w:r w:rsidR="00385B59">
        <w:rPr>
          <w:rFonts w:ascii="Arial" w:hAnsi="Arial" w:cs="Arial"/>
          <w:bCs/>
        </w:rPr>
        <w:t>(</w:t>
      </w:r>
      <w:proofErr w:type="spellStart"/>
      <w:r w:rsidR="00385B59">
        <w:rPr>
          <w:rFonts w:ascii="Arial" w:hAnsi="Arial" w:cs="Arial"/>
          <w:bCs/>
        </w:rPr>
        <w:t>nett</w:t>
      </w:r>
      <w:proofErr w:type="spellEnd"/>
      <w:r w:rsidR="00385B59">
        <w:rPr>
          <w:rFonts w:ascii="Arial" w:hAnsi="Arial" w:cs="Arial"/>
          <w:bCs/>
        </w:rPr>
        <w:t xml:space="preserve"> of inter-segment sales) </w:t>
      </w:r>
      <w:r w:rsidR="00350635">
        <w:rPr>
          <w:rFonts w:ascii="Arial" w:hAnsi="Arial" w:cs="Arial"/>
          <w:bCs/>
        </w:rPr>
        <w:t>are</w:t>
      </w:r>
      <w:proofErr w:type="gramEnd"/>
      <w:r w:rsidRPr="007248E5">
        <w:rPr>
          <w:rFonts w:ascii="Arial" w:hAnsi="Arial" w:cs="Arial"/>
          <w:bCs/>
        </w:rPr>
        <w:t xml:space="preserve"> as follows;</w:t>
      </w:r>
    </w:p>
    <w:p w:rsidR="00DB0E94" w:rsidRDefault="00DB0E94" w:rsidP="00644EDA">
      <w:pPr>
        <w:ind w:left="709" w:hanging="709"/>
        <w:jc w:val="both"/>
        <w:rPr>
          <w:rFonts w:ascii="Arial" w:hAnsi="Arial" w:cs="Arial"/>
          <w:bCs/>
        </w:rPr>
      </w:pPr>
    </w:p>
    <w:p w:rsidR="00350635" w:rsidRPr="007248E5" w:rsidRDefault="00350635" w:rsidP="00644EDA">
      <w:pPr>
        <w:ind w:left="709" w:hanging="709"/>
        <w:jc w:val="both"/>
        <w:rPr>
          <w:rFonts w:ascii="Arial" w:hAnsi="Arial" w:cs="Arial"/>
          <w:bCs/>
        </w:rPr>
      </w:pPr>
    </w:p>
    <w:p w:rsidR="00644EDA" w:rsidRPr="007248E5" w:rsidRDefault="00644EDA" w:rsidP="00644EDA">
      <w:pPr>
        <w:numPr>
          <w:ilvl w:val="0"/>
          <w:numId w:val="16"/>
        </w:numPr>
        <w:jc w:val="both"/>
        <w:rPr>
          <w:rFonts w:ascii="Arial" w:hAnsi="Arial" w:cs="Arial"/>
          <w:b/>
          <w:u w:val="single"/>
        </w:rPr>
      </w:pPr>
      <w:r w:rsidRPr="007248E5">
        <w:rPr>
          <w:rFonts w:ascii="Arial" w:hAnsi="Arial" w:cs="Arial"/>
          <w:b/>
          <w:u w:val="single"/>
        </w:rPr>
        <w:t>Construction Contracts</w:t>
      </w:r>
    </w:p>
    <w:p w:rsidR="00497AFD" w:rsidRPr="007248E5" w:rsidRDefault="00497AFD" w:rsidP="00022117">
      <w:pPr>
        <w:pStyle w:val="BodyTextIndent"/>
        <w:rPr>
          <w:rFonts w:cs="Arial"/>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1326"/>
        <w:gridCol w:w="1279"/>
        <w:gridCol w:w="1231"/>
        <w:gridCol w:w="1325"/>
      </w:tblGrid>
      <w:tr w:rsidR="00BD32D9" w:rsidRPr="007248E5" w:rsidTr="00BD32D9">
        <w:tc>
          <w:tcPr>
            <w:tcW w:w="3216" w:type="dxa"/>
            <w:tcBorders>
              <w:bottom w:val="nil"/>
            </w:tcBorders>
          </w:tcPr>
          <w:p w:rsidR="00971782" w:rsidRPr="007248E5" w:rsidRDefault="00971782" w:rsidP="00BD32D9">
            <w:pPr>
              <w:pStyle w:val="BodyTextIndent"/>
              <w:ind w:left="0"/>
              <w:rPr>
                <w:rFonts w:cs="Arial"/>
                <w:sz w:val="20"/>
              </w:rPr>
            </w:pPr>
          </w:p>
        </w:tc>
        <w:tc>
          <w:tcPr>
            <w:tcW w:w="1326" w:type="dxa"/>
            <w:tcBorders>
              <w:bottom w:val="nil"/>
            </w:tcBorders>
          </w:tcPr>
          <w:p w:rsidR="00971782" w:rsidRPr="007248E5" w:rsidRDefault="00971782" w:rsidP="00BD32D9">
            <w:pPr>
              <w:pStyle w:val="BodyTextIndent"/>
              <w:ind w:left="0"/>
              <w:jc w:val="center"/>
              <w:rPr>
                <w:rFonts w:cs="Arial"/>
                <w:b/>
                <w:sz w:val="20"/>
              </w:rPr>
            </w:pPr>
            <w:r w:rsidRPr="007248E5">
              <w:rPr>
                <w:rFonts w:cs="Arial"/>
                <w:b/>
                <w:sz w:val="20"/>
              </w:rPr>
              <w:t>Qtr ended</w:t>
            </w:r>
          </w:p>
        </w:tc>
        <w:tc>
          <w:tcPr>
            <w:tcW w:w="1279" w:type="dxa"/>
            <w:tcBorders>
              <w:bottom w:val="nil"/>
            </w:tcBorders>
          </w:tcPr>
          <w:p w:rsidR="00971782" w:rsidRPr="007248E5" w:rsidRDefault="00971782" w:rsidP="00BD32D9">
            <w:pPr>
              <w:pStyle w:val="BodyTextIndent"/>
              <w:ind w:left="0"/>
              <w:jc w:val="center"/>
              <w:rPr>
                <w:rFonts w:cs="Arial"/>
                <w:b/>
                <w:sz w:val="20"/>
              </w:rPr>
            </w:pPr>
            <w:r w:rsidRPr="007248E5">
              <w:rPr>
                <w:rFonts w:cs="Arial"/>
                <w:b/>
                <w:sz w:val="20"/>
              </w:rPr>
              <w:t>Y-T-D ended</w:t>
            </w:r>
          </w:p>
        </w:tc>
        <w:tc>
          <w:tcPr>
            <w:tcW w:w="1231" w:type="dxa"/>
            <w:tcBorders>
              <w:bottom w:val="nil"/>
            </w:tcBorders>
          </w:tcPr>
          <w:p w:rsidR="00971782" w:rsidRPr="007248E5" w:rsidRDefault="00971782" w:rsidP="00BD32D9">
            <w:pPr>
              <w:pStyle w:val="BodyTextIndent"/>
              <w:ind w:left="0"/>
              <w:jc w:val="center"/>
              <w:rPr>
                <w:rFonts w:cs="Arial"/>
                <w:b/>
                <w:sz w:val="20"/>
              </w:rPr>
            </w:pPr>
            <w:r w:rsidRPr="007248E5">
              <w:rPr>
                <w:rFonts w:cs="Arial"/>
                <w:b/>
                <w:sz w:val="20"/>
              </w:rPr>
              <w:t>Qtr ended</w:t>
            </w:r>
          </w:p>
        </w:tc>
        <w:tc>
          <w:tcPr>
            <w:tcW w:w="1325" w:type="dxa"/>
            <w:tcBorders>
              <w:bottom w:val="nil"/>
            </w:tcBorders>
          </w:tcPr>
          <w:p w:rsidR="00971782" w:rsidRPr="007248E5" w:rsidRDefault="00971782" w:rsidP="00BD32D9">
            <w:pPr>
              <w:pStyle w:val="BodyTextIndent"/>
              <w:ind w:left="0"/>
              <w:jc w:val="center"/>
              <w:rPr>
                <w:rFonts w:cs="Arial"/>
                <w:b/>
                <w:sz w:val="20"/>
              </w:rPr>
            </w:pPr>
            <w:r w:rsidRPr="007248E5">
              <w:rPr>
                <w:rFonts w:cs="Arial"/>
                <w:b/>
                <w:sz w:val="20"/>
              </w:rPr>
              <w:t>Y-T-D ended</w:t>
            </w:r>
          </w:p>
        </w:tc>
      </w:tr>
      <w:tr w:rsidR="00BD32D9" w:rsidRPr="007248E5" w:rsidTr="00BD32D9">
        <w:tc>
          <w:tcPr>
            <w:tcW w:w="3216" w:type="dxa"/>
            <w:tcBorders>
              <w:top w:val="nil"/>
              <w:bottom w:val="nil"/>
            </w:tcBorders>
          </w:tcPr>
          <w:p w:rsidR="00971782" w:rsidRPr="007248E5" w:rsidRDefault="00971782" w:rsidP="00BD32D9">
            <w:pPr>
              <w:pStyle w:val="BodyTextIndent"/>
              <w:ind w:left="0"/>
              <w:rPr>
                <w:rFonts w:cs="Arial"/>
                <w:sz w:val="20"/>
              </w:rPr>
            </w:pPr>
          </w:p>
        </w:tc>
        <w:tc>
          <w:tcPr>
            <w:tcW w:w="1326" w:type="dxa"/>
            <w:tcBorders>
              <w:top w:val="nil"/>
              <w:bottom w:val="nil"/>
            </w:tcBorders>
          </w:tcPr>
          <w:p w:rsidR="00971782" w:rsidRPr="007248E5" w:rsidRDefault="00971782" w:rsidP="00BD32D9">
            <w:pPr>
              <w:pStyle w:val="BodyTextIndent"/>
              <w:ind w:left="0"/>
              <w:jc w:val="center"/>
              <w:rPr>
                <w:rFonts w:cs="Arial"/>
                <w:b/>
                <w:sz w:val="20"/>
              </w:rPr>
            </w:pPr>
            <w:r w:rsidRPr="007248E5">
              <w:rPr>
                <w:rFonts w:cs="Arial"/>
                <w:b/>
                <w:sz w:val="20"/>
              </w:rPr>
              <w:t>31.12.2011</w:t>
            </w:r>
          </w:p>
        </w:tc>
        <w:tc>
          <w:tcPr>
            <w:tcW w:w="1279" w:type="dxa"/>
            <w:tcBorders>
              <w:top w:val="nil"/>
              <w:bottom w:val="nil"/>
            </w:tcBorders>
          </w:tcPr>
          <w:p w:rsidR="00971782" w:rsidRPr="007248E5" w:rsidRDefault="00971782" w:rsidP="00BD32D9">
            <w:pPr>
              <w:pStyle w:val="BodyTextIndent"/>
              <w:ind w:left="0"/>
              <w:jc w:val="center"/>
              <w:rPr>
                <w:rFonts w:cs="Arial"/>
                <w:b/>
                <w:sz w:val="20"/>
              </w:rPr>
            </w:pPr>
            <w:r w:rsidRPr="007248E5">
              <w:rPr>
                <w:rFonts w:cs="Arial"/>
                <w:b/>
                <w:sz w:val="20"/>
              </w:rPr>
              <w:t>31.12.2011</w:t>
            </w:r>
          </w:p>
        </w:tc>
        <w:tc>
          <w:tcPr>
            <w:tcW w:w="1231" w:type="dxa"/>
            <w:tcBorders>
              <w:top w:val="nil"/>
              <w:bottom w:val="nil"/>
            </w:tcBorders>
          </w:tcPr>
          <w:p w:rsidR="00971782" w:rsidRPr="007248E5" w:rsidRDefault="00971782" w:rsidP="00BD32D9">
            <w:pPr>
              <w:pStyle w:val="BodyTextIndent"/>
              <w:ind w:left="0"/>
              <w:jc w:val="center"/>
              <w:rPr>
                <w:rFonts w:cs="Arial"/>
                <w:b/>
                <w:sz w:val="20"/>
              </w:rPr>
            </w:pPr>
            <w:r w:rsidRPr="007248E5">
              <w:rPr>
                <w:rFonts w:cs="Arial"/>
                <w:b/>
                <w:sz w:val="20"/>
              </w:rPr>
              <w:t>31.12.2010</w:t>
            </w:r>
          </w:p>
        </w:tc>
        <w:tc>
          <w:tcPr>
            <w:tcW w:w="1325" w:type="dxa"/>
            <w:tcBorders>
              <w:top w:val="nil"/>
              <w:bottom w:val="nil"/>
            </w:tcBorders>
          </w:tcPr>
          <w:p w:rsidR="00971782" w:rsidRPr="007248E5" w:rsidRDefault="00971782" w:rsidP="00BD32D9">
            <w:pPr>
              <w:pStyle w:val="BodyTextIndent"/>
              <w:ind w:left="0"/>
              <w:jc w:val="center"/>
              <w:rPr>
                <w:rFonts w:cs="Arial"/>
                <w:b/>
                <w:sz w:val="20"/>
              </w:rPr>
            </w:pPr>
            <w:r w:rsidRPr="007248E5">
              <w:rPr>
                <w:rFonts w:cs="Arial"/>
                <w:b/>
                <w:sz w:val="20"/>
              </w:rPr>
              <w:t>31.12.2010</w:t>
            </w:r>
          </w:p>
        </w:tc>
      </w:tr>
      <w:tr w:rsidR="00BD32D9" w:rsidRPr="007248E5" w:rsidTr="00BD32D9">
        <w:tc>
          <w:tcPr>
            <w:tcW w:w="3216" w:type="dxa"/>
            <w:tcBorders>
              <w:top w:val="nil"/>
            </w:tcBorders>
          </w:tcPr>
          <w:p w:rsidR="00971782" w:rsidRPr="007248E5" w:rsidRDefault="00971782" w:rsidP="00BD32D9">
            <w:pPr>
              <w:pStyle w:val="BodyTextIndent"/>
              <w:ind w:left="0"/>
              <w:rPr>
                <w:rFonts w:cs="Arial"/>
                <w:sz w:val="20"/>
              </w:rPr>
            </w:pPr>
          </w:p>
        </w:tc>
        <w:tc>
          <w:tcPr>
            <w:tcW w:w="1326" w:type="dxa"/>
            <w:tcBorders>
              <w:top w:val="nil"/>
            </w:tcBorders>
          </w:tcPr>
          <w:p w:rsidR="00971782" w:rsidRPr="007248E5" w:rsidRDefault="00971782" w:rsidP="00BD32D9">
            <w:pPr>
              <w:pStyle w:val="BodyTextIndent"/>
              <w:ind w:left="0"/>
              <w:jc w:val="center"/>
              <w:rPr>
                <w:rFonts w:cs="Arial"/>
                <w:sz w:val="20"/>
              </w:rPr>
            </w:pPr>
            <w:r w:rsidRPr="007248E5">
              <w:rPr>
                <w:rFonts w:cs="Arial"/>
                <w:sz w:val="20"/>
              </w:rPr>
              <w:t>RM’000</w:t>
            </w:r>
          </w:p>
        </w:tc>
        <w:tc>
          <w:tcPr>
            <w:tcW w:w="1279" w:type="dxa"/>
            <w:tcBorders>
              <w:top w:val="nil"/>
            </w:tcBorders>
          </w:tcPr>
          <w:p w:rsidR="00971782" w:rsidRPr="007248E5" w:rsidRDefault="00971782" w:rsidP="00BD32D9">
            <w:pPr>
              <w:pStyle w:val="BodyTextIndent"/>
              <w:ind w:left="0"/>
              <w:jc w:val="center"/>
              <w:rPr>
                <w:rFonts w:cs="Arial"/>
                <w:sz w:val="20"/>
              </w:rPr>
            </w:pPr>
            <w:r w:rsidRPr="007248E5">
              <w:rPr>
                <w:rFonts w:cs="Arial"/>
                <w:sz w:val="20"/>
              </w:rPr>
              <w:t>RM’000</w:t>
            </w:r>
          </w:p>
        </w:tc>
        <w:tc>
          <w:tcPr>
            <w:tcW w:w="1231" w:type="dxa"/>
            <w:tcBorders>
              <w:top w:val="nil"/>
            </w:tcBorders>
          </w:tcPr>
          <w:p w:rsidR="00971782" w:rsidRPr="007248E5" w:rsidRDefault="00971782" w:rsidP="00BD32D9">
            <w:pPr>
              <w:pStyle w:val="BodyTextIndent"/>
              <w:ind w:left="0"/>
              <w:jc w:val="center"/>
              <w:rPr>
                <w:rFonts w:cs="Arial"/>
                <w:sz w:val="20"/>
              </w:rPr>
            </w:pPr>
            <w:r w:rsidRPr="007248E5">
              <w:rPr>
                <w:rFonts w:cs="Arial"/>
                <w:sz w:val="20"/>
              </w:rPr>
              <w:t>RM’000</w:t>
            </w:r>
          </w:p>
        </w:tc>
        <w:tc>
          <w:tcPr>
            <w:tcW w:w="1325" w:type="dxa"/>
            <w:tcBorders>
              <w:top w:val="nil"/>
            </w:tcBorders>
          </w:tcPr>
          <w:p w:rsidR="00971782" w:rsidRPr="007248E5" w:rsidRDefault="00971782" w:rsidP="00BD32D9">
            <w:pPr>
              <w:pStyle w:val="BodyTextIndent"/>
              <w:ind w:left="0"/>
              <w:jc w:val="center"/>
              <w:rPr>
                <w:rFonts w:cs="Arial"/>
                <w:sz w:val="20"/>
              </w:rPr>
            </w:pPr>
            <w:r w:rsidRPr="007248E5">
              <w:rPr>
                <w:rFonts w:cs="Arial"/>
                <w:sz w:val="20"/>
              </w:rPr>
              <w:t>RM’000</w:t>
            </w:r>
          </w:p>
        </w:tc>
      </w:tr>
      <w:tr w:rsidR="00BD32D9" w:rsidRPr="007248E5" w:rsidTr="00ED55E1">
        <w:tc>
          <w:tcPr>
            <w:tcW w:w="3216" w:type="dxa"/>
            <w:vAlign w:val="bottom"/>
          </w:tcPr>
          <w:p w:rsidR="00ED55E1" w:rsidRPr="007248E5" w:rsidRDefault="00ED55E1" w:rsidP="00ED55E1">
            <w:pPr>
              <w:pStyle w:val="BodyTextIndent"/>
              <w:ind w:left="0"/>
              <w:jc w:val="left"/>
              <w:rPr>
                <w:rFonts w:cs="Arial"/>
                <w:sz w:val="20"/>
              </w:rPr>
            </w:pPr>
          </w:p>
          <w:p w:rsidR="00ED55E1" w:rsidRPr="007248E5" w:rsidRDefault="00971782" w:rsidP="00ED55E1">
            <w:pPr>
              <w:pStyle w:val="BodyTextIndent"/>
              <w:ind w:left="0"/>
              <w:jc w:val="left"/>
              <w:rPr>
                <w:rFonts w:cs="Arial"/>
                <w:sz w:val="20"/>
              </w:rPr>
            </w:pPr>
            <w:r w:rsidRPr="007248E5">
              <w:rPr>
                <w:rFonts w:cs="Arial"/>
                <w:sz w:val="20"/>
              </w:rPr>
              <w:t>Revenue</w:t>
            </w:r>
          </w:p>
        </w:tc>
        <w:tc>
          <w:tcPr>
            <w:tcW w:w="1326" w:type="dxa"/>
            <w:vAlign w:val="bottom"/>
          </w:tcPr>
          <w:p w:rsidR="00971782" w:rsidRPr="007248E5" w:rsidRDefault="00885D87" w:rsidP="00385B59">
            <w:pPr>
              <w:pStyle w:val="BodyTextIndent"/>
              <w:ind w:left="0"/>
              <w:jc w:val="right"/>
              <w:rPr>
                <w:rFonts w:cs="Arial"/>
                <w:sz w:val="20"/>
              </w:rPr>
            </w:pPr>
            <w:r w:rsidRPr="007248E5">
              <w:rPr>
                <w:rFonts w:cs="Arial"/>
                <w:sz w:val="20"/>
              </w:rPr>
              <w:t>17</w:t>
            </w:r>
            <w:r w:rsidR="00385B59">
              <w:rPr>
                <w:rFonts w:cs="Arial"/>
                <w:sz w:val="20"/>
              </w:rPr>
              <w:t>6,101</w:t>
            </w:r>
          </w:p>
        </w:tc>
        <w:tc>
          <w:tcPr>
            <w:tcW w:w="1279" w:type="dxa"/>
            <w:vAlign w:val="bottom"/>
          </w:tcPr>
          <w:p w:rsidR="00971782" w:rsidRPr="007248E5" w:rsidRDefault="00885D87" w:rsidP="00385B59">
            <w:pPr>
              <w:pStyle w:val="BodyTextIndent"/>
              <w:ind w:left="0"/>
              <w:jc w:val="right"/>
              <w:rPr>
                <w:rFonts w:cs="Arial"/>
                <w:sz w:val="20"/>
              </w:rPr>
            </w:pPr>
            <w:r w:rsidRPr="007248E5">
              <w:rPr>
                <w:rFonts w:cs="Arial"/>
                <w:sz w:val="20"/>
              </w:rPr>
              <w:t>44</w:t>
            </w:r>
            <w:r w:rsidR="00385B59">
              <w:rPr>
                <w:rFonts w:cs="Arial"/>
                <w:sz w:val="20"/>
              </w:rPr>
              <w:t>6</w:t>
            </w:r>
            <w:r w:rsidRPr="007248E5">
              <w:rPr>
                <w:rFonts w:cs="Arial"/>
                <w:sz w:val="20"/>
              </w:rPr>
              <w:t>,</w:t>
            </w:r>
            <w:r w:rsidR="00385B59">
              <w:rPr>
                <w:rFonts w:cs="Arial"/>
                <w:sz w:val="20"/>
              </w:rPr>
              <w:t>841</w:t>
            </w:r>
          </w:p>
        </w:tc>
        <w:tc>
          <w:tcPr>
            <w:tcW w:w="1231" w:type="dxa"/>
            <w:vAlign w:val="bottom"/>
          </w:tcPr>
          <w:p w:rsidR="00971782" w:rsidRPr="007248E5" w:rsidRDefault="008E2719" w:rsidP="00ED55E1">
            <w:pPr>
              <w:pStyle w:val="BodyTextIndent"/>
              <w:ind w:left="0"/>
              <w:jc w:val="right"/>
              <w:rPr>
                <w:rFonts w:cs="Arial"/>
                <w:sz w:val="20"/>
              </w:rPr>
            </w:pPr>
            <w:r w:rsidRPr="007248E5">
              <w:rPr>
                <w:rFonts w:cs="Arial"/>
                <w:sz w:val="20"/>
              </w:rPr>
              <w:t>169,193</w:t>
            </w:r>
          </w:p>
        </w:tc>
        <w:tc>
          <w:tcPr>
            <w:tcW w:w="1325" w:type="dxa"/>
            <w:vAlign w:val="bottom"/>
          </w:tcPr>
          <w:p w:rsidR="00971782" w:rsidRPr="007248E5" w:rsidRDefault="00385B59" w:rsidP="00385B59">
            <w:pPr>
              <w:pStyle w:val="BodyTextIndent"/>
              <w:ind w:left="0"/>
              <w:jc w:val="right"/>
              <w:rPr>
                <w:rFonts w:cs="Arial"/>
                <w:sz w:val="20"/>
              </w:rPr>
            </w:pPr>
            <w:r>
              <w:rPr>
                <w:rFonts w:cs="Arial"/>
                <w:sz w:val="20"/>
              </w:rPr>
              <w:t>489</w:t>
            </w:r>
            <w:r w:rsidR="00ED1A00" w:rsidRPr="007248E5">
              <w:rPr>
                <w:rFonts w:cs="Arial"/>
                <w:sz w:val="20"/>
              </w:rPr>
              <w:t>,</w:t>
            </w:r>
            <w:r>
              <w:rPr>
                <w:rFonts w:cs="Arial"/>
                <w:sz w:val="20"/>
              </w:rPr>
              <w:t>525</w:t>
            </w:r>
          </w:p>
        </w:tc>
      </w:tr>
      <w:tr w:rsidR="00BD32D9" w:rsidRPr="007248E5" w:rsidTr="00ED55E1">
        <w:tc>
          <w:tcPr>
            <w:tcW w:w="3216" w:type="dxa"/>
            <w:vAlign w:val="bottom"/>
          </w:tcPr>
          <w:p w:rsidR="00ED55E1" w:rsidRPr="007248E5" w:rsidRDefault="00ED55E1" w:rsidP="00ED55E1">
            <w:pPr>
              <w:pStyle w:val="BodyTextIndent"/>
              <w:ind w:left="0"/>
              <w:jc w:val="left"/>
              <w:rPr>
                <w:rFonts w:cs="Arial"/>
                <w:sz w:val="20"/>
              </w:rPr>
            </w:pPr>
          </w:p>
          <w:p w:rsidR="00ED55E1" w:rsidRPr="007248E5" w:rsidRDefault="00971782" w:rsidP="00ED55E1">
            <w:pPr>
              <w:pStyle w:val="BodyTextIndent"/>
              <w:ind w:left="0"/>
              <w:jc w:val="left"/>
              <w:rPr>
                <w:rFonts w:cs="Arial"/>
                <w:sz w:val="20"/>
              </w:rPr>
            </w:pPr>
            <w:r w:rsidRPr="007248E5">
              <w:rPr>
                <w:rFonts w:cs="Arial"/>
                <w:sz w:val="20"/>
              </w:rPr>
              <w:t>Operating Profit / (Loss)</w:t>
            </w:r>
          </w:p>
        </w:tc>
        <w:tc>
          <w:tcPr>
            <w:tcW w:w="1326" w:type="dxa"/>
            <w:vAlign w:val="bottom"/>
          </w:tcPr>
          <w:p w:rsidR="00971782" w:rsidRPr="007248E5" w:rsidRDefault="00885D87" w:rsidP="00ED55E1">
            <w:pPr>
              <w:pStyle w:val="BodyTextIndent"/>
              <w:ind w:left="0"/>
              <w:jc w:val="right"/>
              <w:rPr>
                <w:rFonts w:cs="Arial"/>
                <w:sz w:val="20"/>
              </w:rPr>
            </w:pPr>
            <w:r w:rsidRPr="007248E5">
              <w:rPr>
                <w:rFonts w:cs="Arial"/>
                <w:sz w:val="20"/>
              </w:rPr>
              <w:t>14,376</w:t>
            </w:r>
          </w:p>
        </w:tc>
        <w:tc>
          <w:tcPr>
            <w:tcW w:w="1279" w:type="dxa"/>
            <w:vAlign w:val="bottom"/>
          </w:tcPr>
          <w:p w:rsidR="00971782" w:rsidRPr="007248E5" w:rsidRDefault="00885D87" w:rsidP="00ED55E1">
            <w:pPr>
              <w:pStyle w:val="BodyTextIndent"/>
              <w:ind w:left="0"/>
              <w:jc w:val="right"/>
              <w:rPr>
                <w:rFonts w:cs="Arial"/>
                <w:sz w:val="20"/>
              </w:rPr>
            </w:pPr>
            <w:r w:rsidRPr="007248E5">
              <w:rPr>
                <w:rFonts w:cs="Arial"/>
                <w:sz w:val="20"/>
              </w:rPr>
              <w:t>46,609</w:t>
            </w:r>
          </w:p>
        </w:tc>
        <w:tc>
          <w:tcPr>
            <w:tcW w:w="1231" w:type="dxa"/>
            <w:vAlign w:val="bottom"/>
          </w:tcPr>
          <w:p w:rsidR="00971782" w:rsidRPr="007248E5" w:rsidRDefault="008E2719" w:rsidP="00ED55E1">
            <w:pPr>
              <w:pStyle w:val="BodyTextIndent"/>
              <w:ind w:left="0"/>
              <w:jc w:val="right"/>
              <w:rPr>
                <w:rFonts w:cs="Arial"/>
                <w:sz w:val="20"/>
              </w:rPr>
            </w:pPr>
            <w:r w:rsidRPr="007248E5">
              <w:rPr>
                <w:rFonts w:cs="Arial"/>
                <w:sz w:val="20"/>
              </w:rPr>
              <w:t>13,931</w:t>
            </w:r>
          </w:p>
        </w:tc>
        <w:tc>
          <w:tcPr>
            <w:tcW w:w="1325" w:type="dxa"/>
            <w:vAlign w:val="bottom"/>
          </w:tcPr>
          <w:p w:rsidR="00971782" w:rsidRPr="007248E5" w:rsidRDefault="00ED1A00" w:rsidP="00ED55E1">
            <w:pPr>
              <w:pStyle w:val="BodyTextIndent"/>
              <w:ind w:left="0"/>
              <w:jc w:val="right"/>
              <w:rPr>
                <w:rFonts w:cs="Arial"/>
                <w:sz w:val="20"/>
              </w:rPr>
            </w:pPr>
            <w:r w:rsidRPr="007248E5">
              <w:rPr>
                <w:rFonts w:cs="Arial"/>
                <w:sz w:val="20"/>
              </w:rPr>
              <w:t>63,689</w:t>
            </w:r>
          </w:p>
        </w:tc>
      </w:tr>
    </w:tbl>
    <w:p w:rsidR="00644EDA" w:rsidRPr="007248E5" w:rsidRDefault="00644EDA" w:rsidP="00022117">
      <w:pPr>
        <w:pStyle w:val="BodyTextIndent"/>
        <w:rPr>
          <w:rFonts w:cs="Arial"/>
          <w:sz w:val="20"/>
        </w:rPr>
      </w:pPr>
    </w:p>
    <w:p w:rsidR="008055F8" w:rsidRPr="007248E5" w:rsidRDefault="008055F8" w:rsidP="008055F8">
      <w:pPr>
        <w:pStyle w:val="BodyTextIndent"/>
        <w:rPr>
          <w:rFonts w:cs="Arial"/>
          <w:sz w:val="20"/>
        </w:rPr>
      </w:pPr>
      <w:r w:rsidRPr="007248E5">
        <w:rPr>
          <w:rFonts w:cs="Arial"/>
          <w:sz w:val="20"/>
        </w:rPr>
        <w:t xml:space="preserve">Compared to previous year, turnover </w:t>
      </w:r>
      <w:r w:rsidR="009A54D0">
        <w:rPr>
          <w:rFonts w:cs="Arial"/>
          <w:sz w:val="20"/>
        </w:rPr>
        <w:t xml:space="preserve">has </w:t>
      </w:r>
      <w:r w:rsidRPr="007248E5">
        <w:rPr>
          <w:rFonts w:cs="Arial"/>
          <w:sz w:val="20"/>
        </w:rPr>
        <w:t xml:space="preserve">declined by 13% due to the absence of Overseas Revenue (mainly from Libya).   As a result of the non-recurrent impairment losses and write-offs in operations in Libya and China by approximately RM19 million, operating results for this segment was lowered by RM17 million or 27% compared to Yr 2010.   The local segment business, which includes concession for road </w:t>
      </w:r>
      <w:r w:rsidR="00644031" w:rsidRPr="007248E5">
        <w:rPr>
          <w:rFonts w:cs="Arial"/>
          <w:sz w:val="20"/>
        </w:rPr>
        <w:t xml:space="preserve">maintenance and </w:t>
      </w:r>
      <w:r w:rsidRPr="007248E5">
        <w:rPr>
          <w:rFonts w:cs="Arial"/>
          <w:sz w:val="20"/>
        </w:rPr>
        <w:t>rehabilitations works from federal and state</w:t>
      </w:r>
      <w:r w:rsidR="00CC62E6" w:rsidRPr="007248E5">
        <w:rPr>
          <w:rFonts w:cs="Arial"/>
          <w:sz w:val="20"/>
        </w:rPr>
        <w:t xml:space="preserve"> </w:t>
      </w:r>
      <w:proofErr w:type="gramStart"/>
      <w:r w:rsidR="00CC62E6" w:rsidRPr="007248E5">
        <w:rPr>
          <w:rFonts w:cs="Arial"/>
          <w:sz w:val="20"/>
        </w:rPr>
        <w:t>government</w:t>
      </w:r>
      <w:proofErr w:type="gramEnd"/>
      <w:r w:rsidRPr="007248E5">
        <w:rPr>
          <w:rFonts w:cs="Arial"/>
          <w:sz w:val="20"/>
        </w:rPr>
        <w:t xml:space="preserve"> remains robust and profitable.    </w:t>
      </w:r>
    </w:p>
    <w:p w:rsidR="00C46FCB" w:rsidRPr="007248E5" w:rsidRDefault="00C46FCB" w:rsidP="00022117">
      <w:pPr>
        <w:pStyle w:val="BodyTextIndent"/>
        <w:rPr>
          <w:rFonts w:cs="Arial"/>
          <w:sz w:val="20"/>
        </w:rPr>
      </w:pPr>
    </w:p>
    <w:p w:rsidR="00CC62E6" w:rsidRPr="007248E5" w:rsidRDefault="00CC62E6" w:rsidP="00022117">
      <w:pPr>
        <w:pStyle w:val="BodyTextIndent"/>
        <w:rPr>
          <w:rFonts w:cs="Arial"/>
          <w:sz w:val="20"/>
        </w:rPr>
      </w:pPr>
    </w:p>
    <w:p w:rsidR="00570B81" w:rsidRPr="007248E5" w:rsidRDefault="00570B81" w:rsidP="00570B81">
      <w:pPr>
        <w:numPr>
          <w:ilvl w:val="0"/>
          <w:numId w:val="16"/>
        </w:numPr>
        <w:jc w:val="both"/>
        <w:rPr>
          <w:rFonts w:ascii="Arial" w:hAnsi="Arial" w:cs="Arial"/>
          <w:b/>
          <w:u w:val="single"/>
        </w:rPr>
      </w:pPr>
      <w:r w:rsidRPr="007248E5">
        <w:rPr>
          <w:rFonts w:ascii="Arial" w:hAnsi="Arial" w:cs="Arial"/>
          <w:b/>
          <w:u w:val="single"/>
        </w:rPr>
        <w:t xml:space="preserve">Engineering Services </w:t>
      </w:r>
    </w:p>
    <w:p w:rsidR="00570B81" w:rsidRPr="007248E5" w:rsidRDefault="00570B81" w:rsidP="00570B81">
      <w:pPr>
        <w:pStyle w:val="BodyTextIndent"/>
        <w:rPr>
          <w:rFonts w:cs="Arial"/>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1326"/>
        <w:gridCol w:w="1279"/>
        <w:gridCol w:w="1231"/>
        <w:gridCol w:w="1325"/>
      </w:tblGrid>
      <w:tr w:rsidR="00BD32D9" w:rsidRPr="007248E5" w:rsidTr="00BD32D9">
        <w:tc>
          <w:tcPr>
            <w:tcW w:w="3216" w:type="dxa"/>
            <w:tcBorders>
              <w:bottom w:val="nil"/>
            </w:tcBorders>
          </w:tcPr>
          <w:p w:rsidR="00570B81" w:rsidRPr="007248E5" w:rsidRDefault="00570B81" w:rsidP="00BD32D9">
            <w:pPr>
              <w:pStyle w:val="BodyTextIndent"/>
              <w:ind w:left="0"/>
              <w:rPr>
                <w:rFonts w:cs="Arial"/>
                <w:sz w:val="20"/>
              </w:rPr>
            </w:pPr>
          </w:p>
        </w:tc>
        <w:tc>
          <w:tcPr>
            <w:tcW w:w="1326" w:type="dxa"/>
            <w:tcBorders>
              <w:bottom w:val="nil"/>
            </w:tcBorders>
          </w:tcPr>
          <w:p w:rsidR="00570B81" w:rsidRPr="007248E5" w:rsidRDefault="00570B81" w:rsidP="00BD32D9">
            <w:pPr>
              <w:pStyle w:val="BodyTextIndent"/>
              <w:ind w:left="0"/>
              <w:jc w:val="center"/>
              <w:rPr>
                <w:rFonts w:cs="Arial"/>
                <w:b/>
                <w:sz w:val="20"/>
              </w:rPr>
            </w:pPr>
            <w:r w:rsidRPr="007248E5">
              <w:rPr>
                <w:rFonts w:cs="Arial"/>
                <w:b/>
                <w:sz w:val="20"/>
              </w:rPr>
              <w:t>Qtr ended</w:t>
            </w:r>
          </w:p>
        </w:tc>
        <w:tc>
          <w:tcPr>
            <w:tcW w:w="1279" w:type="dxa"/>
            <w:tcBorders>
              <w:bottom w:val="nil"/>
            </w:tcBorders>
          </w:tcPr>
          <w:p w:rsidR="00570B81" w:rsidRPr="007248E5" w:rsidRDefault="00570B81" w:rsidP="00BD32D9">
            <w:pPr>
              <w:pStyle w:val="BodyTextIndent"/>
              <w:ind w:left="0"/>
              <w:jc w:val="center"/>
              <w:rPr>
                <w:rFonts w:cs="Arial"/>
                <w:b/>
                <w:sz w:val="20"/>
              </w:rPr>
            </w:pPr>
            <w:r w:rsidRPr="007248E5">
              <w:rPr>
                <w:rFonts w:cs="Arial"/>
                <w:b/>
                <w:sz w:val="20"/>
              </w:rPr>
              <w:t>Y-T-D ended</w:t>
            </w:r>
          </w:p>
        </w:tc>
        <w:tc>
          <w:tcPr>
            <w:tcW w:w="1231" w:type="dxa"/>
            <w:tcBorders>
              <w:bottom w:val="nil"/>
            </w:tcBorders>
          </w:tcPr>
          <w:p w:rsidR="00570B81" w:rsidRPr="007248E5" w:rsidRDefault="00570B81" w:rsidP="00BD32D9">
            <w:pPr>
              <w:pStyle w:val="BodyTextIndent"/>
              <w:ind w:left="0"/>
              <w:jc w:val="center"/>
              <w:rPr>
                <w:rFonts w:cs="Arial"/>
                <w:b/>
                <w:sz w:val="20"/>
              </w:rPr>
            </w:pPr>
            <w:r w:rsidRPr="007248E5">
              <w:rPr>
                <w:rFonts w:cs="Arial"/>
                <w:b/>
                <w:sz w:val="20"/>
              </w:rPr>
              <w:t>Qtr ended</w:t>
            </w:r>
          </w:p>
        </w:tc>
        <w:tc>
          <w:tcPr>
            <w:tcW w:w="1325" w:type="dxa"/>
            <w:tcBorders>
              <w:bottom w:val="nil"/>
            </w:tcBorders>
          </w:tcPr>
          <w:p w:rsidR="00570B81" w:rsidRPr="007248E5" w:rsidRDefault="00570B81" w:rsidP="00BD32D9">
            <w:pPr>
              <w:pStyle w:val="BodyTextIndent"/>
              <w:ind w:left="0"/>
              <w:jc w:val="center"/>
              <w:rPr>
                <w:rFonts w:cs="Arial"/>
                <w:b/>
                <w:sz w:val="20"/>
              </w:rPr>
            </w:pPr>
            <w:r w:rsidRPr="007248E5">
              <w:rPr>
                <w:rFonts w:cs="Arial"/>
                <w:b/>
                <w:sz w:val="20"/>
              </w:rPr>
              <w:t>Y-T-D ended</w:t>
            </w:r>
          </w:p>
        </w:tc>
      </w:tr>
      <w:tr w:rsidR="00BD32D9" w:rsidRPr="007248E5" w:rsidTr="00BD32D9">
        <w:tc>
          <w:tcPr>
            <w:tcW w:w="3216" w:type="dxa"/>
            <w:tcBorders>
              <w:top w:val="nil"/>
              <w:bottom w:val="nil"/>
            </w:tcBorders>
          </w:tcPr>
          <w:p w:rsidR="00570B81" w:rsidRPr="007248E5" w:rsidRDefault="00570B81" w:rsidP="00BD32D9">
            <w:pPr>
              <w:pStyle w:val="BodyTextIndent"/>
              <w:ind w:left="0"/>
              <w:rPr>
                <w:rFonts w:cs="Arial"/>
                <w:sz w:val="20"/>
              </w:rPr>
            </w:pPr>
          </w:p>
        </w:tc>
        <w:tc>
          <w:tcPr>
            <w:tcW w:w="1326" w:type="dxa"/>
            <w:tcBorders>
              <w:top w:val="nil"/>
              <w:bottom w:val="nil"/>
            </w:tcBorders>
          </w:tcPr>
          <w:p w:rsidR="00570B81" w:rsidRPr="007248E5" w:rsidRDefault="00570B81" w:rsidP="00BD32D9">
            <w:pPr>
              <w:pStyle w:val="BodyTextIndent"/>
              <w:ind w:left="0"/>
              <w:jc w:val="center"/>
              <w:rPr>
                <w:rFonts w:cs="Arial"/>
                <w:b/>
                <w:sz w:val="20"/>
              </w:rPr>
            </w:pPr>
            <w:r w:rsidRPr="007248E5">
              <w:rPr>
                <w:rFonts w:cs="Arial"/>
                <w:b/>
                <w:sz w:val="20"/>
              </w:rPr>
              <w:t>31.12.2011</w:t>
            </w:r>
          </w:p>
        </w:tc>
        <w:tc>
          <w:tcPr>
            <w:tcW w:w="1279" w:type="dxa"/>
            <w:tcBorders>
              <w:top w:val="nil"/>
              <w:bottom w:val="nil"/>
            </w:tcBorders>
          </w:tcPr>
          <w:p w:rsidR="00570B81" w:rsidRPr="007248E5" w:rsidRDefault="00570B81" w:rsidP="00BD32D9">
            <w:pPr>
              <w:pStyle w:val="BodyTextIndent"/>
              <w:ind w:left="0"/>
              <w:jc w:val="center"/>
              <w:rPr>
                <w:rFonts w:cs="Arial"/>
                <w:b/>
                <w:sz w:val="20"/>
              </w:rPr>
            </w:pPr>
            <w:r w:rsidRPr="007248E5">
              <w:rPr>
                <w:rFonts w:cs="Arial"/>
                <w:b/>
                <w:sz w:val="20"/>
              </w:rPr>
              <w:t>31.12.2011</w:t>
            </w:r>
          </w:p>
        </w:tc>
        <w:tc>
          <w:tcPr>
            <w:tcW w:w="1231" w:type="dxa"/>
            <w:tcBorders>
              <w:top w:val="nil"/>
              <w:bottom w:val="nil"/>
            </w:tcBorders>
          </w:tcPr>
          <w:p w:rsidR="00570B81" w:rsidRPr="007248E5" w:rsidRDefault="00570B81" w:rsidP="00BD32D9">
            <w:pPr>
              <w:pStyle w:val="BodyTextIndent"/>
              <w:ind w:left="0"/>
              <w:jc w:val="center"/>
              <w:rPr>
                <w:rFonts w:cs="Arial"/>
                <w:b/>
                <w:sz w:val="20"/>
              </w:rPr>
            </w:pPr>
            <w:r w:rsidRPr="007248E5">
              <w:rPr>
                <w:rFonts w:cs="Arial"/>
                <w:b/>
                <w:sz w:val="20"/>
              </w:rPr>
              <w:t>31.12.2010</w:t>
            </w:r>
          </w:p>
        </w:tc>
        <w:tc>
          <w:tcPr>
            <w:tcW w:w="1325" w:type="dxa"/>
            <w:tcBorders>
              <w:top w:val="nil"/>
              <w:bottom w:val="nil"/>
            </w:tcBorders>
          </w:tcPr>
          <w:p w:rsidR="00570B81" w:rsidRPr="007248E5" w:rsidRDefault="00570B81" w:rsidP="00BD32D9">
            <w:pPr>
              <w:pStyle w:val="BodyTextIndent"/>
              <w:ind w:left="0"/>
              <w:jc w:val="center"/>
              <w:rPr>
                <w:rFonts w:cs="Arial"/>
                <w:b/>
                <w:sz w:val="20"/>
              </w:rPr>
            </w:pPr>
            <w:r w:rsidRPr="007248E5">
              <w:rPr>
                <w:rFonts w:cs="Arial"/>
                <w:b/>
                <w:sz w:val="20"/>
              </w:rPr>
              <w:t>31.12.2010</w:t>
            </w:r>
          </w:p>
        </w:tc>
      </w:tr>
      <w:tr w:rsidR="00BD32D9" w:rsidRPr="007248E5" w:rsidTr="00BD32D9">
        <w:tc>
          <w:tcPr>
            <w:tcW w:w="3216" w:type="dxa"/>
            <w:tcBorders>
              <w:top w:val="nil"/>
            </w:tcBorders>
          </w:tcPr>
          <w:p w:rsidR="00570B81" w:rsidRPr="007248E5" w:rsidRDefault="00570B81" w:rsidP="00BD32D9">
            <w:pPr>
              <w:pStyle w:val="BodyTextIndent"/>
              <w:ind w:left="0"/>
              <w:rPr>
                <w:rFonts w:cs="Arial"/>
                <w:sz w:val="20"/>
              </w:rPr>
            </w:pPr>
          </w:p>
        </w:tc>
        <w:tc>
          <w:tcPr>
            <w:tcW w:w="1326" w:type="dxa"/>
            <w:tcBorders>
              <w:top w:val="nil"/>
            </w:tcBorders>
          </w:tcPr>
          <w:p w:rsidR="00570B81" w:rsidRPr="007248E5" w:rsidRDefault="00570B81" w:rsidP="00BD32D9">
            <w:pPr>
              <w:pStyle w:val="BodyTextIndent"/>
              <w:ind w:left="0"/>
              <w:jc w:val="center"/>
              <w:rPr>
                <w:rFonts w:cs="Arial"/>
                <w:sz w:val="20"/>
              </w:rPr>
            </w:pPr>
            <w:r w:rsidRPr="007248E5">
              <w:rPr>
                <w:rFonts w:cs="Arial"/>
                <w:sz w:val="20"/>
              </w:rPr>
              <w:t>RM’000</w:t>
            </w:r>
          </w:p>
        </w:tc>
        <w:tc>
          <w:tcPr>
            <w:tcW w:w="1279" w:type="dxa"/>
            <w:tcBorders>
              <w:top w:val="nil"/>
            </w:tcBorders>
          </w:tcPr>
          <w:p w:rsidR="00570B81" w:rsidRPr="007248E5" w:rsidRDefault="00570B81" w:rsidP="00BD32D9">
            <w:pPr>
              <w:pStyle w:val="BodyTextIndent"/>
              <w:ind w:left="0"/>
              <w:jc w:val="center"/>
              <w:rPr>
                <w:rFonts w:cs="Arial"/>
                <w:sz w:val="20"/>
              </w:rPr>
            </w:pPr>
            <w:r w:rsidRPr="007248E5">
              <w:rPr>
                <w:rFonts w:cs="Arial"/>
                <w:sz w:val="20"/>
              </w:rPr>
              <w:t>RM’000</w:t>
            </w:r>
          </w:p>
        </w:tc>
        <w:tc>
          <w:tcPr>
            <w:tcW w:w="1231" w:type="dxa"/>
            <w:tcBorders>
              <w:top w:val="nil"/>
            </w:tcBorders>
          </w:tcPr>
          <w:p w:rsidR="00570B81" w:rsidRPr="007248E5" w:rsidRDefault="00570B81" w:rsidP="00BD32D9">
            <w:pPr>
              <w:pStyle w:val="BodyTextIndent"/>
              <w:ind w:left="0"/>
              <w:jc w:val="center"/>
              <w:rPr>
                <w:rFonts w:cs="Arial"/>
                <w:sz w:val="20"/>
              </w:rPr>
            </w:pPr>
            <w:r w:rsidRPr="007248E5">
              <w:rPr>
                <w:rFonts w:cs="Arial"/>
                <w:sz w:val="20"/>
              </w:rPr>
              <w:t>RM’000</w:t>
            </w:r>
          </w:p>
        </w:tc>
        <w:tc>
          <w:tcPr>
            <w:tcW w:w="1325" w:type="dxa"/>
            <w:tcBorders>
              <w:top w:val="nil"/>
            </w:tcBorders>
          </w:tcPr>
          <w:p w:rsidR="00570B81" w:rsidRPr="007248E5" w:rsidRDefault="00570B81" w:rsidP="00BD32D9">
            <w:pPr>
              <w:pStyle w:val="BodyTextIndent"/>
              <w:ind w:left="0"/>
              <w:jc w:val="center"/>
              <w:rPr>
                <w:rFonts w:cs="Arial"/>
                <w:sz w:val="20"/>
              </w:rPr>
            </w:pPr>
            <w:r w:rsidRPr="007248E5">
              <w:rPr>
                <w:rFonts w:cs="Arial"/>
                <w:sz w:val="20"/>
              </w:rPr>
              <w:t>RM’000</w:t>
            </w:r>
          </w:p>
        </w:tc>
      </w:tr>
      <w:tr w:rsidR="00BD32D9" w:rsidRPr="007248E5" w:rsidTr="00ED55E1">
        <w:tc>
          <w:tcPr>
            <w:tcW w:w="3216" w:type="dxa"/>
          </w:tcPr>
          <w:p w:rsidR="00ED55E1" w:rsidRPr="007248E5" w:rsidRDefault="00ED55E1" w:rsidP="00BD32D9">
            <w:pPr>
              <w:pStyle w:val="BodyTextIndent"/>
              <w:ind w:left="0"/>
              <w:rPr>
                <w:rFonts w:cs="Arial"/>
                <w:sz w:val="20"/>
              </w:rPr>
            </w:pPr>
          </w:p>
          <w:p w:rsidR="00570B81" w:rsidRPr="007248E5" w:rsidRDefault="00570B81" w:rsidP="00ED55E1">
            <w:pPr>
              <w:pStyle w:val="BodyTextIndent"/>
              <w:ind w:left="0"/>
              <w:rPr>
                <w:rFonts w:cs="Arial"/>
                <w:sz w:val="20"/>
              </w:rPr>
            </w:pPr>
            <w:r w:rsidRPr="007248E5">
              <w:rPr>
                <w:rFonts w:cs="Arial"/>
                <w:sz w:val="20"/>
              </w:rPr>
              <w:t>Revenue</w:t>
            </w:r>
          </w:p>
        </w:tc>
        <w:tc>
          <w:tcPr>
            <w:tcW w:w="1326" w:type="dxa"/>
            <w:vAlign w:val="bottom"/>
          </w:tcPr>
          <w:p w:rsidR="00570B81" w:rsidRPr="007248E5" w:rsidRDefault="00385B59" w:rsidP="00385B59">
            <w:pPr>
              <w:pStyle w:val="BodyTextIndent"/>
              <w:ind w:left="0"/>
              <w:jc w:val="right"/>
              <w:rPr>
                <w:rFonts w:cs="Arial"/>
                <w:sz w:val="20"/>
              </w:rPr>
            </w:pPr>
            <w:r>
              <w:rPr>
                <w:rFonts w:cs="Arial"/>
                <w:sz w:val="20"/>
              </w:rPr>
              <w:t>28</w:t>
            </w:r>
            <w:r w:rsidR="00885D87" w:rsidRPr="007248E5">
              <w:rPr>
                <w:rFonts w:cs="Arial"/>
                <w:sz w:val="20"/>
              </w:rPr>
              <w:t>,</w:t>
            </w:r>
            <w:r>
              <w:rPr>
                <w:rFonts w:cs="Arial"/>
                <w:sz w:val="20"/>
              </w:rPr>
              <w:t>740</w:t>
            </w:r>
          </w:p>
        </w:tc>
        <w:tc>
          <w:tcPr>
            <w:tcW w:w="1279" w:type="dxa"/>
            <w:vAlign w:val="bottom"/>
          </w:tcPr>
          <w:p w:rsidR="00570B81" w:rsidRPr="007248E5" w:rsidRDefault="00885D87" w:rsidP="00ED55E1">
            <w:pPr>
              <w:pStyle w:val="BodyTextIndent"/>
              <w:ind w:left="0"/>
              <w:jc w:val="right"/>
              <w:rPr>
                <w:rFonts w:cs="Arial"/>
                <w:sz w:val="20"/>
              </w:rPr>
            </w:pPr>
            <w:r w:rsidRPr="007248E5">
              <w:rPr>
                <w:rFonts w:cs="Arial"/>
                <w:sz w:val="20"/>
              </w:rPr>
              <w:t>96,116</w:t>
            </w:r>
          </w:p>
        </w:tc>
        <w:tc>
          <w:tcPr>
            <w:tcW w:w="1231" w:type="dxa"/>
            <w:vAlign w:val="bottom"/>
          </w:tcPr>
          <w:p w:rsidR="00570B81" w:rsidRPr="007248E5" w:rsidRDefault="00385B59" w:rsidP="00385B59">
            <w:pPr>
              <w:pStyle w:val="BodyTextIndent"/>
              <w:ind w:left="0"/>
              <w:jc w:val="right"/>
              <w:rPr>
                <w:rFonts w:cs="Arial"/>
                <w:sz w:val="20"/>
              </w:rPr>
            </w:pPr>
            <w:r>
              <w:rPr>
                <w:rFonts w:cs="Arial"/>
                <w:sz w:val="20"/>
              </w:rPr>
              <w:t>49</w:t>
            </w:r>
            <w:r w:rsidR="008E2719" w:rsidRPr="007248E5">
              <w:rPr>
                <w:rFonts w:cs="Arial"/>
                <w:sz w:val="20"/>
              </w:rPr>
              <w:t>,</w:t>
            </w:r>
            <w:r>
              <w:rPr>
                <w:rFonts w:cs="Arial"/>
                <w:sz w:val="20"/>
              </w:rPr>
              <w:t>569</w:t>
            </w:r>
          </w:p>
        </w:tc>
        <w:tc>
          <w:tcPr>
            <w:tcW w:w="1325" w:type="dxa"/>
            <w:vAlign w:val="bottom"/>
          </w:tcPr>
          <w:p w:rsidR="00570B81" w:rsidRPr="007248E5" w:rsidRDefault="00ED1A00" w:rsidP="00ED55E1">
            <w:pPr>
              <w:pStyle w:val="BodyTextIndent"/>
              <w:ind w:left="0"/>
              <w:jc w:val="right"/>
              <w:rPr>
                <w:rFonts w:cs="Arial"/>
                <w:sz w:val="20"/>
              </w:rPr>
            </w:pPr>
            <w:r w:rsidRPr="007248E5">
              <w:rPr>
                <w:rFonts w:cs="Arial"/>
                <w:sz w:val="20"/>
              </w:rPr>
              <w:t>105,557</w:t>
            </w:r>
          </w:p>
        </w:tc>
      </w:tr>
      <w:tr w:rsidR="00BD32D9" w:rsidRPr="007248E5" w:rsidTr="00ED55E1">
        <w:tc>
          <w:tcPr>
            <w:tcW w:w="3216" w:type="dxa"/>
          </w:tcPr>
          <w:p w:rsidR="00ED55E1" w:rsidRPr="007248E5" w:rsidRDefault="00ED55E1" w:rsidP="00BD32D9">
            <w:pPr>
              <w:pStyle w:val="BodyTextIndent"/>
              <w:ind w:left="0"/>
              <w:rPr>
                <w:rFonts w:cs="Arial"/>
                <w:sz w:val="20"/>
              </w:rPr>
            </w:pPr>
          </w:p>
          <w:p w:rsidR="00570B81" w:rsidRPr="007248E5" w:rsidRDefault="00570B81" w:rsidP="00ED55E1">
            <w:pPr>
              <w:pStyle w:val="BodyTextIndent"/>
              <w:ind w:left="0"/>
              <w:rPr>
                <w:rFonts w:cs="Arial"/>
                <w:sz w:val="20"/>
              </w:rPr>
            </w:pPr>
            <w:r w:rsidRPr="007248E5">
              <w:rPr>
                <w:rFonts w:cs="Arial"/>
                <w:sz w:val="20"/>
              </w:rPr>
              <w:t>Operating Profit / (Loss)</w:t>
            </w:r>
          </w:p>
        </w:tc>
        <w:tc>
          <w:tcPr>
            <w:tcW w:w="1326" w:type="dxa"/>
            <w:vAlign w:val="bottom"/>
          </w:tcPr>
          <w:p w:rsidR="00570B81" w:rsidRPr="007248E5" w:rsidRDefault="00CC62E6" w:rsidP="00ED55E1">
            <w:pPr>
              <w:pStyle w:val="BodyTextIndent"/>
              <w:ind w:left="0"/>
              <w:jc w:val="right"/>
              <w:rPr>
                <w:rFonts w:cs="Arial"/>
                <w:sz w:val="20"/>
              </w:rPr>
            </w:pPr>
            <w:r w:rsidRPr="007248E5">
              <w:rPr>
                <w:rFonts w:cs="Arial"/>
                <w:sz w:val="20"/>
              </w:rPr>
              <w:t>5</w:t>
            </w:r>
            <w:r w:rsidR="00885D87" w:rsidRPr="007248E5">
              <w:rPr>
                <w:rFonts w:cs="Arial"/>
                <w:sz w:val="20"/>
              </w:rPr>
              <w:t>,</w:t>
            </w:r>
            <w:r w:rsidRPr="007248E5">
              <w:rPr>
                <w:rFonts w:cs="Arial"/>
                <w:sz w:val="20"/>
              </w:rPr>
              <w:t>324</w:t>
            </w:r>
          </w:p>
        </w:tc>
        <w:tc>
          <w:tcPr>
            <w:tcW w:w="1279" w:type="dxa"/>
            <w:vAlign w:val="bottom"/>
          </w:tcPr>
          <w:p w:rsidR="00570B81" w:rsidRPr="007248E5" w:rsidRDefault="00885D87" w:rsidP="00ED55E1">
            <w:pPr>
              <w:pStyle w:val="BodyTextIndent"/>
              <w:ind w:left="0"/>
              <w:jc w:val="right"/>
              <w:rPr>
                <w:rFonts w:cs="Arial"/>
                <w:sz w:val="20"/>
              </w:rPr>
            </w:pPr>
            <w:r w:rsidRPr="007248E5">
              <w:rPr>
                <w:rFonts w:cs="Arial"/>
                <w:sz w:val="20"/>
              </w:rPr>
              <w:t>1</w:t>
            </w:r>
            <w:r w:rsidR="00CC62E6" w:rsidRPr="007248E5">
              <w:rPr>
                <w:rFonts w:cs="Arial"/>
                <w:sz w:val="20"/>
              </w:rPr>
              <w:t>5</w:t>
            </w:r>
            <w:r w:rsidRPr="007248E5">
              <w:rPr>
                <w:rFonts w:cs="Arial"/>
                <w:sz w:val="20"/>
              </w:rPr>
              <w:t>,</w:t>
            </w:r>
            <w:r w:rsidR="00CC62E6" w:rsidRPr="007248E5">
              <w:rPr>
                <w:rFonts w:cs="Arial"/>
                <w:sz w:val="20"/>
              </w:rPr>
              <w:t>607</w:t>
            </w:r>
          </w:p>
        </w:tc>
        <w:tc>
          <w:tcPr>
            <w:tcW w:w="1231" w:type="dxa"/>
            <w:vAlign w:val="bottom"/>
          </w:tcPr>
          <w:p w:rsidR="00570B81" w:rsidRPr="007248E5" w:rsidRDefault="008E2719" w:rsidP="00ED55E1">
            <w:pPr>
              <w:pStyle w:val="BodyTextIndent"/>
              <w:ind w:left="0"/>
              <w:jc w:val="right"/>
              <w:rPr>
                <w:rFonts w:cs="Arial"/>
                <w:sz w:val="20"/>
              </w:rPr>
            </w:pPr>
            <w:r w:rsidRPr="007248E5">
              <w:rPr>
                <w:rFonts w:cs="Arial"/>
                <w:sz w:val="20"/>
              </w:rPr>
              <w:t>6,007</w:t>
            </w:r>
          </w:p>
        </w:tc>
        <w:tc>
          <w:tcPr>
            <w:tcW w:w="1325" w:type="dxa"/>
            <w:vAlign w:val="bottom"/>
          </w:tcPr>
          <w:p w:rsidR="00570B81" w:rsidRPr="007248E5" w:rsidRDefault="00ED1A00" w:rsidP="00ED55E1">
            <w:pPr>
              <w:pStyle w:val="BodyTextIndent"/>
              <w:ind w:left="0"/>
              <w:jc w:val="right"/>
              <w:rPr>
                <w:rFonts w:cs="Arial"/>
                <w:sz w:val="20"/>
              </w:rPr>
            </w:pPr>
            <w:r w:rsidRPr="007248E5">
              <w:rPr>
                <w:rFonts w:cs="Arial"/>
                <w:sz w:val="20"/>
              </w:rPr>
              <w:t>23,096</w:t>
            </w:r>
          </w:p>
        </w:tc>
      </w:tr>
    </w:tbl>
    <w:p w:rsidR="00570B81" w:rsidRPr="007248E5" w:rsidRDefault="00570B81" w:rsidP="00570B81">
      <w:pPr>
        <w:pStyle w:val="BodyTextIndent"/>
        <w:rPr>
          <w:rFonts w:cs="Arial"/>
          <w:sz w:val="20"/>
        </w:rPr>
      </w:pPr>
    </w:p>
    <w:p w:rsidR="00570B81" w:rsidRPr="007248E5" w:rsidRDefault="00570B81" w:rsidP="00570B81">
      <w:pPr>
        <w:pStyle w:val="BodyTextIndent"/>
        <w:rPr>
          <w:rFonts w:cs="Arial"/>
          <w:sz w:val="20"/>
        </w:rPr>
      </w:pPr>
    </w:p>
    <w:p w:rsidR="00ED55E1" w:rsidRPr="007248E5" w:rsidRDefault="00ED55E1" w:rsidP="00570B81">
      <w:pPr>
        <w:pStyle w:val="BodyTextIndent"/>
        <w:rPr>
          <w:rFonts w:cs="Arial"/>
          <w:sz w:val="20"/>
        </w:rPr>
      </w:pPr>
      <w:r w:rsidRPr="007248E5">
        <w:rPr>
          <w:rFonts w:cs="Arial"/>
          <w:sz w:val="20"/>
        </w:rPr>
        <w:t xml:space="preserve">Turnover </w:t>
      </w:r>
      <w:r w:rsidR="00644031" w:rsidRPr="007248E5">
        <w:rPr>
          <w:rFonts w:cs="Arial"/>
          <w:sz w:val="20"/>
        </w:rPr>
        <w:t xml:space="preserve">and operating results </w:t>
      </w:r>
      <w:r w:rsidRPr="007248E5">
        <w:rPr>
          <w:rFonts w:cs="Arial"/>
          <w:sz w:val="20"/>
        </w:rPr>
        <w:t>for 2011 was lowered due to the already completed, non-recurrent F</w:t>
      </w:r>
      <w:r w:rsidR="00002BF3">
        <w:rPr>
          <w:rFonts w:cs="Arial"/>
          <w:sz w:val="20"/>
        </w:rPr>
        <w:t xml:space="preserve">ederal Building Investigation </w:t>
      </w:r>
      <w:r w:rsidRPr="007248E5">
        <w:rPr>
          <w:rFonts w:cs="Arial"/>
          <w:sz w:val="20"/>
        </w:rPr>
        <w:t xml:space="preserve">Phase 1 project in previous year.   The project was one-off and </w:t>
      </w:r>
      <w:r w:rsidR="00067B75">
        <w:rPr>
          <w:rFonts w:cs="Arial"/>
          <w:sz w:val="20"/>
        </w:rPr>
        <w:t>had been competed in early 2011</w:t>
      </w:r>
      <w:r w:rsidRPr="007248E5">
        <w:rPr>
          <w:rFonts w:cs="Arial"/>
          <w:sz w:val="20"/>
        </w:rPr>
        <w:t xml:space="preserve">.    Other one-off large projects completed in 2010 in </w:t>
      </w:r>
      <w:r w:rsidR="00067B75">
        <w:rPr>
          <w:rFonts w:cs="Arial"/>
          <w:sz w:val="20"/>
        </w:rPr>
        <w:t xml:space="preserve">its </w:t>
      </w:r>
      <w:proofErr w:type="spellStart"/>
      <w:r w:rsidRPr="007248E5">
        <w:rPr>
          <w:rFonts w:cs="Arial"/>
          <w:sz w:val="20"/>
        </w:rPr>
        <w:t>Geotechnique</w:t>
      </w:r>
      <w:proofErr w:type="spellEnd"/>
      <w:r w:rsidRPr="007248E5">
        <w:rPr>
          <w:rFonts w:cs="Arial"/>
          <w:sz w:val="20"/>
        </w:rPr>
        <w:t xml:space="preserve"> </w:t>
      </w:r>
      <w:proofErr w:type="gramStart"/>
      <w:r w:rsidRPr="007248E5">
        <w:rPr>
          <w:rFonts w:cs="Arial"/>
          <w:sz w:val="20"/>
        </w:rPr>
        <w:t>units which was</w:t>
      </w:r>
      <w:proofErr w:type="gramEnd"/>
      <w:r w:rsidRPr="007248E5">
        <w:rPr>
          <w:rFonts w:cs="Arial"/>
          <w:sz w:val="20"/>
        </w:rPr>
        <w:t xml:space="preserve"> not repeated in 2011 was another factor causing the lower operating results in this segment in 2011.  </w:t>
      </w:r>
    </w:p>
    <w:p w:rsidR="00ED55E1" w:rsidRPr="007248E5" w:rsidRDefault="00ED55E1" w:rsidP="00570B81">
      <w:pPr>
        <w:pStyle w:val="BodyTextIndent"/>
        <w:rPr>
          <w:rFonts w:cs="Arial"/>
          <w:sz w:val="20"/>
        </w:rPr>
      </w:pPr>
    </w:p>
    <w:p w:rsidR="008A633A" w:rsidRPr="007248E5" w:rsidRDefault="008A633A">
      <w:pPr>
        <w:jc w:val="both"/>
        <w:rPr>
          <w:rFonts w:ascii="Arial" w:hAnsi="Arial" w:cs="Arial"/>
          <w:b/>
          <w:bCs/>
        </w:rPr>
      </w:pPr>
    </w:p>
    <w:p w:rsidR="008F4131" w:rsidRPr="007248E5" w:rsidRDefault="00ED55E1">
      <w:pPr>
        <w:jc w:val="both"/>
        <w:rPr>
          <w:rFonts w:ascii="Arial" w:hAnsi="Arial" w:cs="Arial"/>
          <w:b/>
          <w:bCs/>
        </w:rPr>
      </w:pPr>
      <w:r w:rsidRPr="007248E5">
        <w:rPr>
          <w:rFonts w:ascii="Arial" w:hAnsi="Arial" w:cs="Arial"/>
          <w:b/>
          <w:bCs/>
        </w:rPr>
        <w:br w:type="page"/>
      </w:r>
    </w:p>
    <w:p w:rsidR="00C46FCB" w:rsidRPr="007248E5" w:rsidRDefault="00C46FCB" w:rsidP="00C46FCB">
      <w:pPr>
        <w:numPr>
          <w:ilvl w:val="0"/>
          <w:numId w:val="16"/>
        </w:numPr>
        <w:jc w:val="both"/>
        <w:rPr>
          <w:rFonts w:ascii="Arial" w:hAnsi="Arial" w:cs="Arial"/>
          <w:b/>
          <w:u w:val="single"/>
        </w:rPr>
      </w:pPr>
      <w:r w:rsidRPr="007248E5">
        <w:rPr>
          <w:rFonts w:ascii="Arial" w:hAnsi="Arial" w:cs="Arial"/>
          <w:b/>
          <w:u w:val="single"/>
        </w:rPr>
        <w:lastRenderedPageBreak/>
        <w:t xml:space="preserve">Trading </w:t>
      </w:r>
    </w:p>
    <w:p w:rsidR="00C46FCB" w:rsidRPr="007248E5" w:rsidRDefault="00C46FCB" w:rsidP="00C46FCB">
      <w:pPr>
        <w:pStyle w:val="BodyTextIndent"/>
        <w:rPr>
          <w:rFonts w:cs="Arial"/>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1326"/>
        <w:gridCol w:w="1279"/>
        <w:gridCol w:w="1231"/>
        <w:gridCol w:w="1325"/>
      </w:tblGrid>
      <w:tr w:rsidR="00BD32D9" w:rsidRPr="007248E5" w:rsidTr="00BD32D9">
        <w:tc>
          <w:tcPr>
            <w:tcW w:w="3216" w:type="dxa"/>
            <w:tcBorders>
              <w:bottom w:val="nil"/>
            </w:tcBorders>
          </w:tcPr>
          <w:p w:rsidR="00C46FCB" w:rsidRPr="007248E5" w:rsidRDefault="00C46FCB" w:rsidP="00BD32D9">
            <w:pPr>
              <w:pStyle w:val="BodyTextIndent"/>
              <w:ind w:left="0"/>
              <w:rPr>
                <w:rFonts w:cs="Arial"/>
                <w:sz w:val="20"/>
              </w:rPr>
            </w:pPr>
          </w:p>
        </w:tc>
        <w:tc>
          <w:tcPr>
            <w:tcW w:w="1326"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Qtr ended</w:t>
            </w:r>
          </w:p>
        </w:tc>
        <w:tc>
          <w:tcPr>
            <w:tcW w:w="1279"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Y-T-D ended</w:t>
            </w:r>
          </w:p>
        </w:tc>
        <w:tc>
          <w:tcPr>
            <w:tcW w:w="1231"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Qtr ended</w:t>
            </w:r>
          </w:p>
        </w:tc>
        <w:tc>
          <w:tcPr>
            <w:tcW w:w="1325"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Y-T-D ended</w:t>
            </w:r>
          </w:p>
        </w:tc>
      </w:tr>
      <w:tr w:rsidR="00BD32D9" w:rsidRPr="007248E5" w:rsidTr="00BD32D9">
        <w:tc>
          <w:tcPr>
            <w:tcW w:w="3216" w:type="dxa"/>
            <w:tcBorders>
              <w:top w:val="nil"/>
              <w:bottom w:val="nil"/>
            </w:tcBorders>
          </w:tcPr>
          <w:p w:rsidR="00C46FCB" w:rsidRPr="007248E5" w:rsidRDefault="00C46FCB" w:rsidP="00BD32D9">
            <w:pPr>
              <w:pStyle w:val="BodyTextIndent"/>
              <w:ind w:left="0"/>
              <w:rPr>
                <w:rFonts w:cs="Arial"/>
                <w:sz w:val="20"/>
              </w:rPr>
            </w:pPr>
          </w:p>
        </w:tc>
        <w:tc>
          <w:tcPr>
            <w:tcW w:w="1326"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31.12.2011</w:t>
            </w:r>
          </w:p>
        </w:tc>
        <w:tc>
          <w:tcPr>
            <w:tcW w:w="1279"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31.12.2011</w:t>
            </w:r>
          </w:p>
        </w:tc>
        <w:tc>
          <w:tcPr>
            <w:tcW w:w="1231"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31.12.2010</w:t>
            </w:r>
          </w:p>
        </w:tc>
        <w:tc>
          <w:tcPr>
            <w:tcW w:w="1325"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31.12.2010</w:t>
            </w:r>
          </w:p>
        </w:tc>
      </w:tr>
      <w:tr w:rsidR="00BD32D9" w:rsidRPr="007248E5" w:rsidTr="00BD32D9">
        <w:tc>
          <w:tcPr>
            <w:tcW w:w="3216" w:type="dxa"/>
            <w:tcBorders>
              <w:top w:val="nil"/>
            </w:tcBorders>
          </w:tcPr>
          <w:p w:rsidR="00C46FCB" w:rsidRPr="007248E5" w:rsidRDefault="00C46FCB" w:rsidP="00BD32D9">
            <w:pPr>
              <w:pStyle w:val="BodyTextIndent"/>
              <w:ind w:left="0"/>
              <w:rPr>
                <w:rFonts w:cs="Arial"/>
                <w:sz w:val="20"/>
              </w:rPr>
            </w:pPr>
          </w:p>
        </w:tc>
        <w:tc>
          <w:tcPr>
            <w:tcW w:w="1326"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c>
          <w:tcPr>
            <w:tcW w:w="1279"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c>
          <w:tcPr>
            <w:tcW w:w="1231"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c>
          <w:tcPr>
            <w:tcW w:w="1325"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r>
      <w:tr w:rsidR="00BD32D9" w:rsidRPr="007248E5" w:rsidTr="00BC4BEF">
        <w:tc>
          <w:tcPr>
            <w:tcW w:w="3216" w:type="dxa"/>
          </w:tcPr>
          <w:p w:rsidR="00BC4BEF" w:rsidRPr="007248E5" w:rsidRDefault="00BC4BEF" w:rsidP="00BD32D9">
            <w:pPr>
              <w:pStyle w:val="BodyTextIndent"/>
              <w:ind w:left="0"/>
              <w:rPr>
                <w:rFonts w:cs="Arial"/>
                <w:sz w:val="20"/>
              </w:rPr>
            </w:pPr>
          </w:p>
          <w:p w:rsidR="00C46FCB" w:rsidRPr="007248E5" w:rsidRDefault="00C46FCB" w:rsidP="00BC4BEF">
            <w:pPr>
              <w:pStyle w:val="BodyTextIndent"/>
              <w:ind w:left="0"/>
              <w:rPr>
                <w:rFonts w:cs="Arial"/>
                <w:sz w:val="20"/>
              </w:rPr>
            </w:pPr>
            <w:r w:rsidRPr="007248E5">
              <w:rPr>
                <w:rFonts w:cs="Arial"/>
                <w:sz w:val="20"/>
              </w:rPr>
              <w:t>Revenue</w:t>
            </w:r>
          </w:p>
        </w:tc>
        <w:tc>
          <w:tcPr>
            <w:tcW w:w="1326" w:type="dxa"/>
            <w:vAlign w:val="bottom"/>
          </w:tcPr>
          <w:p w:rsidR="00C46FCB" w:rsidRPr="007248E5" w:rsidRDefault="00885D87" w:rsidP="00385B59">
            <w:pPr>
              <w:pStyle w:val="BodyTextIndent"/>
              <w:ind w:left="0"/>
              <w:jc w:val="right"/>
              <w:rPr>
                <w:rFonts w:cs="Arial"/>
                <w:sz w:val="20"/>
              </w:rPr>
            </w:pPr>
            <w:r w:rsidRPr="007248E5">
              <w:rPr>
                <w:rFonts w:cs="Arial"/>
                <w:sz w:val="20"/>
              </w:rPr>
              <w:t>2</w:t>
            </w:r>
            <w:r w:rsidR="00385B59">
              <w:rPr>
                <w:rFonts w:cs="Arial"/>
                <w:sz w:val="20"/>
              </w:rPr>
              <w:t>5</w:t>
            </w:r>
            <w:r w:rsidRPr="007248E5">
              <w:rPr>
                <w:rFonts w:cs="Arial"/>
                <w:sz w:val="20"/>
              </w:rPr>
              <w:t>,</w:t>
            </w:r>
            <w:r w:rsidR="00385B59">
              <w:rPr>
                <w:rFonts w:cs="Arial"/>
                <w:sz w:val="20"/>
              </w:rPr>
              <w:t>407</w:t>
            </w:r>
          </w:p>
        </w:tc>
        <w:tc>
          <w:tcPr>
            <w:tcW w:w="1279" w:type="dxa"/>
            <w:vAlign w:val="bottom"/>
          </w:tcPr>
          <w:p w:rsidR="00C46FCB" w:rsidRPr="007248E5" w:rsidRDefault="00885D87" w:rsidP="00385B59">
            <w:pPr>
              <w:pStyle w:val="BodyTextIndent"/>
              <w:ind w:left="0"/>
              <w:jc w:val="right"/>
              <w:rPr>
                <w:rFonts w:cs="Arial"/>
                <w:sz w:val="20"/>
              </w:rPr>
            </w:pPr>
            <w:r w:rsidRPr="007248E5">
              <w:rPr>
                <w:rFonts w:cs="Arial"/>
                <w:sz w:val="20"/>
              </w:rPr>
              <w:t>1</w:t>
            </w:r>
            <w:r w:rsidR="00385B59">
              <w:rPr>
                <w:rFonts w:cs="Arial"/>
                <w:sz w:val="20"/>
              </w:rPr>
              <w:t>11</w:t>
            </w:r>
            <w:r w:rsidRPr="007248E5">
              <w:rPr>
                <w:rFonts w:cs="Arial"/>
                <w:sz w:val="20"/>
              </w:rPr>
              <w:t>,</w:t>
            </w:r>
            <w:r w:rsidR="00385B59">
              <w:rPr>
                <w:rFonts w:cs="Arial"/>
                <w:sz w:val="20"/>
              </w:rPr>
              <w:t>575</w:t>
            </w:r>
          </w:p>
        </w:tc>
        <w:tc>
          <w:tcPr>
            <w:tcW w:w="1231" w:type="dxa"/>
            <w:vAlign w:val="bottom"/>
          </w:tcPr>
          <w:p w:rsidR="00C46FCB" w:rsidRPr="007248E5" w:rsidRDefault="008E2719" w:rsidP="00385B59">
            <w:pPr>
              <w:pStyle w:val="BodyTextIndent"/>
              <w:ind w:left="0"/>
              <w:jc w:val="right"/>
              <w:rPr>
                <w:rFonts w:cs="Arial"/>
                <w:sz w:val="20"/>
              </w:rPr>
            </w:pPr>
            <w:r w:rsidRPr="007248E5">
              <w:rPr>
                <w:rFonts w:cs="Arial"/>
                <w:sz w:val="20"/>
              </w:rPr>
              <w:t>3</w:t>
            </w:r>
            <w:r w:rsidR="00385B59">
              <w:rPr>
                <w:rFonts w:cs="Arial"/>
                <w:sz w:val="20"/>
              </w:rPr>
              <w:t>6</w:t>
            </w:r>
            <w:r w:rsidRPr="007248E5">
              <w:rPr>
                <w:rFonts w:cs="Arial"/>
                <w:sz w:val="20"/>
              </w:rPr>
              <w:t>,</w:t>
            </w:r>
            <w:r w:rsidR="00385B59">
              <w:rPr>
                <w:rFonts w:cs="Arial"/>
                <w:sz w:val="20"/>
              </w:rPr>
              <w:t>762</w:t>
            </w:r>
          </w:p>
        </w:tc>
        <w:tc>
          <w:tcPr>
            <w:tcW w:w="1325" w:type="dxa"/>
            <w:vAlign w:val="bottom"/>
          </w:tcPr>
          <w:p w:rsidR="00C46FCB" w:rsidRPr="007248E5" w:rsidRDefault="00ED1A00" w:rsidP="00385B59">
            <w:pPr>
              <w:pStyle w:val="BodyTextIndent"/>
              <w:ind w:left="0"/>
              <w:jc w:val="right"/>
              <w:rPr>
                <w:rFonts w:cs="Arial"/>
                <w:sz w:val="20"/>
              </w:rPr>
            </w:pPr>
            <w:r w:rsidRPr="007248E5">
              <w:rPr>
                <w:rFonts w:cs="Arial"/>
                <w:sz w:val="20"/>
              </w:rPr>
              <w:t>1</w:t>
            </w:r>
            <w:r w:rsidR="00385B59">
              <w:rPr>
                <w:rFonts w:cs="Arial"/>
                <w:sz w:val="20"/>
              </w:rPr>
              <w:t>08</w:t>
            </w:r>
            <w:r w:rsidRPr="007248E5">
              <w:rPr>
                <w:rFonts w:cs="Arial"/>
                <w:sz w:val="20"/>
              </w:rPr>
              <w:t>,</w:t>
            </w:r>
            <w:r w:rsidR="00385B59">
              <w:rPr>
                <w:rFonts w:cs="Arial"/>
                <w:sz w:val="20"/>
              </w:rPr>
              <w:t>743</w:t>
            </w:r>
          </w:p>
        </w:tc>
      </w:tr>
      <w:tr w:rsidR="00BD32D9" w:rsidRPr="007248E5" w:rsidTr="00BC4BEF">
        <w:tc>
          <w:tcPr>
            <w:tcW w:w="3216" w:type="dxa"/>
          </w:tcPr>
          <w:p w:rsidR="00BC4BEF" w:rsidRPr="007248E5" w:rsidRDefault="00BC4BEF" w:rsidP="00BD32D9">
            <w:pPr>
              <w:pStyle w:val="BodyTextIndent"/>
              <w:ind w:left="0"/>
              <w:rPr>
                <w:rFonts w:cs="Arial"/>
                <w:sz w:val="20"/>
              </w:rPr>
            </w:pPr>
          </w:p>
          <w:p w:rsidR="00C46FCB" w:rsidRPr="007248E5" w:rsidRDefault="00C46FCB" w:rsidP="00BC4BEF">
            <w:pPr>
              <w:pStyle w:val="BodyTextIndent"/>
              <w:ind w:left="0"/>
              <w:rPr>
                <w:rFonts w:cs="Arial"/>
                <w:sz w:val="20"/>
              </w:rPr>
            </w:pPr>
            <w:r w:rsidRPr="007248E5">
              <w:rPr>
                <w:rFonts w:cs="Arial"/>
                <w:sz w:val="20"/>
              </w:rPr>
              <w:t>Operating Profit / (Loss)</w:t>
            </w:r>
          </w:p>
        </w:tc>
        <w:tc>
          <w:tcPr>
            <w:tcW w:w="1326" w:type="dxa"/>
            <w:vAlign w:val="bottom"/>
          </w:tcPr>
          <w:p w:rsidR="00C46FCB" w:rsidRPr="007248E5" w:rsidRDefault="00885D87" w:rsidP="00BC4BEF">
            <w:pPr>
              <w:pStyle w:val="BodyTextIndent"/>
              <w:ind w:left="0"/>
              <w:jc w:val="right"/>
              <w:rPr>
                <w:rFonts w:cs="Arial"/>
                <w:sz w:val="20"/>
              </w:rPr>
            </w:pPr>
            <w:r w:rsidRPr="007248E5">
              <w:rPr>
                <w:rFonts w:cs="Arial"/>
                <w:sz w:val="20"/>
              </w:rPr>
              <w:t>855</w:t>
            </w:r>
          </w:p>
        </w:tc>
        <w:tc>
          <w:tcPr>
            <w:tcW w:w="1279" w:type="dxa"/>
            <w:vAlign w:val="bottom"/>
          </w:tcPr>
          <w:p w:rsidR="00C46FCB" w:rsidRPr="007248E5" w:rsidRDefault="00885D87" w:rsidP="00BC4BEF">
            <w:pPr>
              <w:pStyle w:val="BodyTextIndent"/>
              <w:ind w:left="0"/>
              <w:jc w:val="right"/>
              <w:rPr>
                <w:rFonts w:cs="Arial"/>
                <w:sz w:val="20"/>
              </w:rPr>
            </w:pPr>
            <w:r w:rsidRPr="007248E5">
              <w:rPr>
                <w:rFonts w:cs="Arial"/>
                <w:sz w:val="20"/>
              </w:rPr>
              <w:t>5,195</w:t>
            </w:r>
          </w:p>
        </w:tc>
        <w:tc>
          <w:tcPr>
            <w:tcW w:w="1231" w:type="dxa"/>
            <w:vAlign w:val="bottom"/>
          </w:tcPr>
          <w:p w:rsidR="00C46FCB" w:rsidRPr="007248E5" w:rsidRDefault="00385B59" w:rsidP="00BC4BEF">
            <w:pPr>
              <w:pStyle w:val="BodyTextIndent"/>
              <w:ind w:left="0"/>
              <w:jc w:val="right"/>
              <w:rPr>
                <w:rFonts w:cs="Arial"/>
                <w:sz w:val="20"/>
              </w:rPr>
            </w:pPr>
            <w:r>
              <w:rPr>
                <w:rFonts w:cs="Arial"/>
                <w:sz w:val="20"/>
              </w:rPr>
              <w:t>775</w:t>
            </w:r>
          </w:p>
        </w:tc>
        <w:tc>
          <w:tcPr>
            <w:tcW w:w="1325" w:type="dxa"/>
            <w:vAlign w:val="bottom"/>
          </w:tcPr>
          <w:p w:rsidR="00C46FCB" w:rsidRPr="007248E5" w:rsidRDefault="00ED1A00" w:rsidP="00BC4BEF">
            <w:pPr>
              <w:pStyle w:val="BodyTextIndent"/>
              <w:ind w:left="0"/>
              <w:jc w:val="right"/>
              <w:rPr>
                <w:rFonts w:cs="Arial"/>
                <w:sz w:val="20"/>
              </w:rPr>
            </w:pPr>
            <w:r w:rsidRPr="007248E5">
              <w:rPr>
                <w:rFonts w:cs="Arial"/>
                <w:sz w:val="20"/>
              </w:rPr>
              <w:t>3,901</w:t>
            </w:r>
          </w:p>
        </w:tc>
      </w:tr>
    </w:tbl>
    <w:p w:rsidR="00BC4BEF" w:rsidRPr="007248E5" w:rsidRDefault="00BC4BEF" w:rsidP="00C46FCB">
      <w:pPr>
        <w:pStyle w:val="BodyTextIndent"/>
        <w:rPr>
          <w:rFonts w:cs="Arial"/>
          <w:sz w:val="20"/>
        </w:rPr>
      </w:pPr>
    </w:p>
    <w:p w:rsidR="00BC4BEF" w:rsidRPr="007248E5" w:rsidRDefault="00BC4BEF" w:rsidP="00C46FCB">
      <w:pPr>
        <w:pStyle w:val="BodyTextIndent"/>
        <w:rPr>
          <w:rFonts w:cs="Arial"/>
          <w:sz w:val="20"/>
        </w:rPr>
      </w:pPr>
      <w:r w:rsidRPr="007248E5">
        <w:rPr>
          <w:rFonts w:cs="Arial"/>
          <w:sz w:val="20"/>
        </w:rPr>
        <w:t>Operating results has improved by 3</w:t>
      </w:r>
      <w:r w:rsidR="00A62032">
        <w:rPr>
          <w:rFonts w:cs="Arial"/>
          <w:sz w:val="20"/>
        </w:rPr>
        <w:t>3</w:t>
      </w:r>
      <w:r w:rsidRPr="007248E5">
        <w:rPr>
          <w:rFonts w:cs="Arial"/>
          <w:sz w:val="20"/>
        </w:rPr>
        <w:t xml:space="preserve">% in 2011 compared to previous year mainly due higher GP margin for its Bitumen sales 2011, which was about 9% compared to 5% only in previous year.   </w:t>
      </w:r>
    </w:p>
    <w:p w:rsidR="00BC4BEF" w:rsidRPr="007248E5" w:rsidRDefault="00BC4BEF" w:rsidP="00C46FCB">
      <w:pPr>
        <w:pStyle w:val="BodyTextIndent"/>
        <w:rPr>
          <w:rFonts w:cs="Arial"/>
          <w:sz w:val="20"/>
        </w:rPr>
      </w:pPr>
    </w:p>
    <w:p w:rsidR="00C46FCB" w:rsidRPr="007248E5" w:rsidRDefault="00C46FCB" w:rsidP="00C46FCB">
      <w:pPr>
        <w:pStyle w:val="BodyTextIndent"/>
        <w:rPr>
          <w:rFonts w:cs="Arial"/>
          <w:sz w:val="20"/>
        </w:rPr>
      </w:pPr>
    </w:p>
    <w:p w:rsidR="00C46FCB" w:rsidRPr="007248E5" w:rsidRDefault="00BC4BEF" w:rsidP="00C46FCB">
      <w:pPr>
        <w:numPr>
          <w:ilvl w:val="0"/>
          <w:numId w:val="16"/>
        </w:numPr>
        <w:jc w:val="both"/>
        <w:rPr>
          <w:rFonts w:ascii="Arial" w:hAnsi="Arial" w:cs="Arial"/>
          <w:b/>
          <w:u w:val="single"/>
        </w:rPr>
      </w:pPr>
      <w:r w:rsidRPr="007248E5">
        <w:rPr>
          <w:rFonts w:ascii="Arial" w:hAnsi="Arial" w:cs="Arial"/>
          <w:b/>
          <w:u w:val="single"/>
        </w:rPr>
        <w:t>E</w:t>
      </w:r>
      <w:r w:rsidR="00C46FCB" w:rsidRPr="007248E5">
        <w:rPr>
          <w:rFonts w:ascii="Arial" w:hAnsi="Arial" w:cs="Arial"/>
          <w:b/>
          <w:u w:val="single"/>
        </w:rPr>
        <w:t xml:space="preserve">ducation </w:t>
      </w:r>
      <w:r w:rsidRPr="007248E5">
        <w:rPr>
          <w:rFonts w:ascii="Arial" w:hAnsi="Arial" w:cs="Arial"/>
          <w:b/>
          <w:u w:val="single"/>
        </w:rPr>
        <w:t>&amp; Training</w:t>
      </w:r>
      <w:r w:rsidR="00C46FCB" w:rsidRPr="007248E5">
        <w:rPr>
          <w:rFonts w:ascii="Arial" w:hAnsi="Arial" w:cs="Arial"/>
          <w:b/>
          <w:u w:val="single"/>
        </w:rPr>
        <w:t xml:space="preserve"> </w:t>
      </w:r>
    </w:p>
    <w:p w:rsidR="00C46FCB" w:rsidRPr="007248E5" w:rsidRDefault="00C46FCB" w:rsidP="00C46FCB">
      <w:pPr>
        <w:pStyle w:val="BodyTextIndent"/>
        <w:rPr>
          <w:rFonts w:cs="Arial"/>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1326"/>
        <w:gridCol w:w="1279"/>
        <w:gridCol w:w="1231"/>
        <w:gridCol w:w="1325"/>
      </w:tblGrid>
      <w:tr w:rsidR="00BD32D9" w:rsidRPr="007248E5" w:rsidTr="00BD32D9">
        <w:tc>
          <w:tcPr>
            <w:tcW w:w="3216" w:type="dxa"/>
            <w:tcBorders>
              <w:bottom w:val="nil"/>
            </w:tcBorders>
          </w:tcPr>
          <w:p w:rsidR="00C46FCB" w:rsidRPr="007248E5" w:rsidRDefault="00C46FCB" w:rsidP="00BD32D9">
            <w:pPr>
              <w:pStyle w:val="BodyTextIndent"/>
              <w:ind w:left="0"/>
              <w:rPr>
                <w:rFonts w:cs="Arial"/>
                <w:sz w:val="20"/>
              </w:rPr>
            </w:pPr>
          </w:p>
        </w:tc>
        <w:tc>
          <w:tcPr>
            <w:tcW w:w="1326"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Qtr ended</w:t>
            </w:r>
          </w:p>
        </w:tc>
        <w:tc>
          <w:tcPr>
            <w:tcW w:w="1279"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Y-T-D ended</w:t>
            </w:r>
          </w:p>
        </w:tc>
        <w:tc>
          <w:tcPr>
            <w:tcW w:w="1231"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Qtr ended</w:t>
            </w:r>
          </w:p>
        </w:tc>
        <w:tc>
          <w:tcPr>
            <w:tcW w:w="1325"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Y-T-D ended</w:t>
            </w:r>
          </w:p>
        </w:tc>
      </w:tr>
      <w:tr w:rsidR="00BD32D9" w:rsidRPr="007248E5" w:rsidTr="00BD32D9">
        <w:tc>
          <w:tcPr>
            <w:tcW w:w="3216" w:type="dxa"/>
            <w:tcBorders>
              <w:top w:val="nil"/>
              <w:bottom w:val="nil"/>
            </w:tcBorders>
          </w:tcPr>
          <w:p w:rsidR="00C46FCB" w:rsidRPr="007248E5" w:rsidRDefault="00C46FCB" w:rsidP="00BD32D9">
            <w:pPr>
              <w:pStyle w:val="BodyTextIndent"/>
              <w:ind w:left="0"/>
              <w:rPr>
                <w:rFonts w:cs="Arial"/>
                <w:sz w:val="20"/>
              </w:rPr>
            </w:pPr>
          </w:p>
        </w:tc>
        <w:tc>
          <w:tcPr>
            <w:tcW w:w="1326"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31.12.2011</w:t>
            </w:r>
          </w:p>
        </w:tc>
        <w:tc>
          <w:tcPr>
            <w:tcW w:w="1279"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31.12.2011</w:t>
            </w:r>
          </w:p>
        </w:tc>
        <w:tc>
          <w:tcPr>
            <w:tcW w:w="1231"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31.12.2010</w:t>
            </w:r>
          </w:p>
        </w:tc>
        <w:tc>
          <w:tcPr>
            <w:tcW w:w="1325"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31.12.2010</w:t>
            </w:r>
          </w:p>
        </w:tc>
      </w:tr>
      <w:tr w:rsidR="00BD32D9" w:rsidRPr="007248E5" w:rsidTr="00BD32D9">
        <w:tc>
          <w:tcPr>
            <w:tcW w:w="3216" w:type="dxa"/>
            <w:tcBorders>
              <w:top w:val="nil"/>
            </w:tcBorders>
          </w:tcPr>
          <w:p w:rsidR="00C46FCB" w:rsidRPr="007248E5" w:rsidRDefault="00C46FCB" w:rsidP="00BD32D9">
            <w:pPr>
              <w:pStyle w:val="BodyTextIndent"/>
              <w:ind w:left="0"/>
              <w:rPr>
                <w:rFonts w:cs="Arial"/>
                <w:sz w:val="20"/>
              </w:rPr>
            </w:pPr>
          </w:p>
        </w:tc>
        <w:tc>
          <w:tcPr>
            <w:tcW w:w="1326"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c>
          <w:tcPr>
            <w:tcW w:w="1279"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c>
          <w:tcPr>
            <w:tcW w:w="1231"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c>
          <w:tcPr>
            <w:tcW w:w="1325"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r>
      <w:tr w:rsidR="00BD32D9" w:rsidRPr="007248E5" w:rsidTr="00E16FF1">
        <w:tc>
          <w:tcPr>
            <w:tcW w:w="3216" w:type="dxa"/>
          </w:tcPr>
          <w:p w:rsidR="00E16FF1" w:rsidRPr="007248E5" w:rsidRDefault="00E16FF1" w:rsidP="00BD32D9">
            <w:pPr>
              <w:pStyle w:val="BodyTextIndent"/>
              <w:ind w:left="0"/>
              <w:rPr>
                <w:rFonts w:cs="Arial"/>
                <w:sz w:val="20"/>
              </w:rPr>
            </w:pPr>
          </w:p>
          <w:p w:rsidR="00C46FCB" w:rsidRPr="007248E5" w:rsidRDefault="00C46FCB" w:rsidP="00E16FF1">
            <w:pPr>
              <w:pStyle w:val="BodyTextIndent"/>
              <w:ind w:left="0"/>
              <w:rPr>
                <w:rFonts w:cs="Arial"/>
                <w:sz w:val="20"/>
              </w:rPr>
            </w:pPr>
            <w:r w:rsidRPr="007248E5">
              <w:rPr>
                <w:rFonts w:cs="Arial"/>
                <w:sz w:val="20"/>
              </w:rPr>
              <w:t>Revenue</w:t>
            </w:r>
          </w:p>
        </w:tc>
        <w:tc>
          <w:tcPr>
            <w:tcW w:w="1326" w:type="dxa"/>
            <w:vAlign w:val="bottom"/>
          </w:tcPr>
          <w:p w:rsidR="00C46FCB" w:rsidRPr="007248E5" w:rsidRDefault="00885D87" w:rsidP="00E16FF1">
            <w:pPr>
              <w:pStyle w:val="BodyTextIndent"/>
              <w:ind w:left="0"/>
              <w:jc w:val="right"/>
              <w:rPr>
                <w:rFonts w:cs="Arial"/>
                <w:sz w:val="20"/>
              </w:rPr>
            </w:pPr>
            <w:r w:rsidRPr="007248E5">
              <w:rPr>
                <w:rFonts w:cs="Arial"/>
                <w:sz w:val="20"/>
              </w:rPr>
              <w:t>1</w:t>
            </w:r>
            <w:r w:rsidR="00BC4BEF" w:rsidRPr="007248E5">
              <w:rPr>
                <w:rFonts w:cs="Arial"/>
                <w:sz w:val="20"/>
              </w:rPr>
              <w:t>6</w:t>
            </w:r>
            <w:r w:rsidRPr="007248E5">
              <w:rPr>
                <w:rFonts w:cs="Arial"/>
                <w:sz w:val="20"/>
              </w:rPr>
              <w:t>,</w:t>
            </w:r>
            <w:r w:rsidR="00BC4BEF" w:rsidRPr="007248E5">
              <w:rPr>
                <w:rFonts w:cs="Arial"/>
                <w:sz w:val="20"/>
              </w:rPr>
              <w:t>411</w:t>
            </w:r>
          </w:p>
        </w:tc>
        <w:tc>
          <w:tcPr>
            <w:tcW w:w="1279" w:type="dxa"/>
            <w:vAlign w:val="bottom"/>
          </w:tcPr>
          <w:p w:rsidR="00C46FCB" w:rsidRPr="007248E5" w:rsidRDefault="00885D87" w:rsidP="00E16FF1">
            <w:pPr>
              <w:pStyle w:val="BodyTextIndent"/>
              <w:ind w:left="0"/>
              <w:jc w:val="right"/>
              <w:rPr>
                <w:rFonts w:cs="Arial"/>
                <w:sz w:val="20"/>
              </w:rPr>
            </w:pPr>
            <w:r w:rsidRPr="007248E5">
              <w:rPr>
                <w:rFonts w:cs="Arial"/>
                <w:sz w:val="20"/>
              </w:rPr>
              <w:t>4</w:t>
            </w:r>
            <w:r w:rsidR="00E16FF1" w:rsidRPr="007248E5">
              <w:rPr>
                <w:rFonts w:cs="Arial"/>
                <w:sz w:val="20"/>
              </w:rPr>
              <w:t>9</w:t>
            </w:r>
            <w:r w:rsidRPr="007248E5">
              <w:rPr>
                <w:rFonts w:cs="Arial"/>
                <w:sz w:val="20"/>
              </w:rPr>
              <w:t>,</w:t>
            </w:r>
            <w:r w:rsidR="00E16FF1" w:rsidRPr="007248E5">
              <w:rPr>
                <w:rFonts w:cs="Arial"/>
                <w:sz w:val="20"/>
              </w:rPr>
              <w:t>123</w:t>
            </w:r>
          </w:p>
        </w:tc>
        <w:tc>
          <w:tcPr>
            <w:tcW w:w="1231" w:type="dxa"/>
            <w:vAlign w:val="bottom"/>
          </w:tcPr>
          <w:p w:rsidR="00C46FCB" w:rsidRPr="007248E5" w:rsidRDefault="008E2719" w:rsidP="00E16FF1">
            <w:pPr>
              <w:pStyle w:val="BodyTextIndent"/>
              <w:ind w:left="0"/>
              <w:jc w:val="right"/>
              <w:rPr>
                <w:rFonts w:cs="Arial"/>
                <w:sz w:val="20"/>
              </w:rPr>
            </w:pPr>
            <w:r w:rsidRPr="007248E5">
              <w:rPr>
                <w:rFonts w:cs="Arial"/>
                <w:sz w:val="20"/>
              </w:rPr>
              <w:t>1</w:t>
            </w:r>
            <w:r w:rsidR="00BC4BEF" w:rsidRPr="007248E5">
              <w:rPr>
                <w:rFonts w:cs="Arial"/>
                <w:sz w:val="20"/>
              </w:rPr>
              <w:t>3,326</w:t>
            </w:r>
          </w:p>
        </w:tc>
        <w:tc>
          <w:tcPr>
            <w:tcW w:w="1325" w:type="dxa"/>
            <w:vAlign w:val="bottom"/>
          </w:tcPr>
          <w:p w:rsidR="00C46FCB" w:rsidRPr="007248E5" w:rsidRDefault="00BC4BEF" w:rsidP="00385B59">
            <w:pPr>
              <w:pStyle w:val="BodyTextIndent"/>
              <w:ind w:left="0"/>
              <w:jc w:val="right"/>
              <w:rPr>
                <w:rFonts w:cs="Arial"/>
                <w:sz w:val="20"/>
              </w:rPr>
            </w:pPr>
            <w:r w:rsidRPr="007248E5">
              <w:rPr>
                <w:rFonts w:cs="Arial"/>
                <w:sz w:val="20"/>
              </w:rPr>
              <w:t>43,6</w:t>
            </w:r>
            <w:r w:rsidR="00385B59">
              <w:rPr>
                <w:rFonts w:cs="Arial"/>
                <w:sz w:val="20"/>
              </w:rPr>
              <w:t>9</w:t>
            </w:r>
            <w:r w:rsidRPr="007248E5">
              <w:rPr>
                <w:rFonts w:cs="Arial"/>
                <w:sz w:val="20"/>
              </w:rPr>
              <w:t>7</w:t>
            </w:r>
          </w:p>
        </w:tc>
      </w:tr>
      <w:tr w:rsidR="00BD32D9" w:rsidRPr="007248E5" w:rsidTr="00E16FF1">
        <w:tc>
          <w:tcPr>
            <w:tcW w:w="3216" w:type="dxa"/>
          </w:tcPr>
          <w:p w:rsidR="00E16FF1" w:rsidRPr="007248E5" w:rsidRDefault="00E16FF1" w:rsidP="00BD32D9">
            <w:pPr>
              <w:pStyle w:val="BodyTextIndent"/>
              <w:ind w:left="0"/>
              <w:rPr>
                <w:rFonts w:cs="Arial"/>
                <w:sz w:val="20"/>
              </w:rPr>
            </w:pPr>
          </w:p>
          <w:p w:rsidR="00C46FCB" w:rsidRPr="007248E5" w:rsidRDefault="00C46FCB" w:rsidP="00E16FF1">
            <w:pPr>
              <w:pStyle w:val="BodyTextIndent"/>
              <w:ind w:left="0"/>
              <w:rPr>
                <w:rFonts w:cs="Arial"/>
                <w:sz w:val="20"/>
              </w:rPr>
            </w:pPr>
            <w:r w:rsidRPr="007248E5">
              <w:rPr>
                <w:rFonts w:cs="Arial"/>
                <w:sz w:val="20"/>
              </w:rPr>
              <w:t>Operating Profit / (Loss)</w:t>
            </w:r>
          </w:p>
        </w:tc>
        <w:tc>
          <w:tcPr>
            <w:tcW w:w="1326" w:type="dxa"/>
            <w:vAlign w:val="bottom"/>
          </w:tcPr>
          <w:p w:rsidR="00C46FCB" w:rsidRPr="007248E5" w:rsidRDefault="00885D87" w:rsidP="00E16FF1">
            <w:pPr>
              <w:pStyle w:val="BodyTextIndent"/>
              <w:ind w:left="0"/>
              <w:jc w:val="right"/>
              <w:rPr>
                <w:rFonts w:cs="Arial"/>
                <w:sz w:val="20"/>
              </w:rPr>
            </w:pPr>
            <w:r w:rsidRPr="007248E5">
              <w:rPr>
                <w:rFonts w:cs="Arial"/>
                <w:sz w:val="20"/>
              </w:rPr>
              <w:t>2,</w:t>
            </w:r>
            <w:r w:rsidR="00E16FF1" w:rsidRPr="007248E5">
              <w:rPr>
                <w:rFonts w:cs="Arial"/>
                <w:sz w:val="20"/>
              </w:rPr>
              <w:t>011</w:t>
            </w:r>
          </w:p>
        </w:tc>
        <w:tc>
          <w:tcPr>
            <w:tcW w:w="1279" w:type="dxa"/>
            <w:vAlign w:val="bottom"/>
          </w:tcPr>
          <w:p w:rsidR="00C46FCB" w:rsidRPr="007248E5" w:rsidRDefault="00E16FF1" w:rsidP="00E16FF1">
            <w:pPr>
              <w:pStyle w:val="BodyTextIndent"/>
              <w:ind w:left="0"/>
              <w:jc w:val="right"/>
              <w:rPr>
                <w:rFonts w:cs="Arial"/>
                <w:sz w:val="20"/>
              </w:rPr>
            </w:pPr>
            <w:r w:rsidRPr="007248E5">
              <w:rPr>
                <w:rFonts w:cs="Arial"/>
                <w:sz w:val="20"/>
              </w:rPr>
              <w:t>2,761</w:t>
            </w:r>
          </w:p>
        </w:tc>
        <w:tc>
          <w:tcPr>
            <w:tcW w:w="1231" w:type="dxa"/>
            <w:vAlign w:val="bottom"/>
          </w:tcPr>
          <w:p w:rsidR="00C46FCB" w:rsidRPr="007248E5" w:rsidRDefault="00BC4BEF" w:rsidP="00E16FF1">
            <w:pPr>
              <w:pStyle w:val="BodyTextIndent"/>
              <w:ind w:left="0"/>
              <w:jc w:val="right"/>
              <w:rPr>
                <w:rFonts w:cs="Arial"/>
                <w:sz w:val="20"/>
              </w:rPr>
            </w:pPr>
            <w:r w:rsidRPr="007248E5">
              <w:rPr>
                <w:rFonts w:cs="Arial"/>
                <w:sz w:val="20"/>
              </w:rPr>
              <w:t>1,442</w:t>
            </w:r>
          </w:p>
        </w:tc>
        <w:tc>
          <w:tcPr>
            <w:tcW w:w="1325" w:type="dxa"/>
            <w:vAlign w:val="bottom"/>
          </w:tcPr>
          <w:p w:rsidR="00C46FCB" w:rsidRPr="007248E5" w:rsidRDefault="00BC4BEF" w:rsidP="00E16FF1">
            <w:pPr>
              <w:pStyle w:val="BodyTextIndent"/>
              <w:ind w:left="0"/>
              <w:jc w:val="right"/>
              <w:rPr>
                <w:rFonts w:cs="Arial"/>
                <w:sz w:val="20"/>
              </w:rPr>
            </w:pPr>
            <w:r w:rsidRPr="007248E5">
              <w:rPr>
                <w:rFonts w:cs="Arial"/>
                <w:sz w:val="20"/>
              </w:rPr>
              <w:t>1,576</w:t>
            </w:r>
          </w:p>
        </w:tc>
      </w:tr>
    </w:tbl>
    <w:p w:rsidR="00C46FCB" w:rsidRPr="007248E5" w:rsidRDefault="00C46FCB" w:rsidP="00C46FCB">
      <w:pPr>
        <w:pStyle w:val="BodyTextIndent"/>
        <w:rPr>
          <w:rFonts w:cs="Arial"/>
          <w:sz w:val="20"/>
        </w:rPr>
      </w:pPr>
    </w:p>
    <w:p w:rsidR="00C46FCB" w:rsidRPr="007248E5" w:rsidRDefault="00E16FF1" w:rsidP="00C46FCB">
      <w:pPr>
        <w:pStyle w:val="BodyTextIndent"/>
        <w:rPr>
          <w:rFonts w:cs="Arial"/>
          <w:sz w:val="20"/>
        </w:rPr>
      </w:pPr>
      <w:r w:rsidRPr="007248E5">
        <w:rPr>
          <w:rFonts w:cs="Arial"/>
          <w:sz w:val="20"/>
        </w:rPr>
        <w:t xml:space="preserve">This </w:t>
      </w:r>
      <w:r w:rsidRPr="007248E5">
        <w:rPr>
          <w:rFonts w:cs="Arial"/>
          <w:color w:val="000000"/>
          <w:sz w:val="20"/>
        </w:rPr>
        <w:t xml:space="preserve">segment registered better turnover and operating results mainly due to the impact of the revised tuition fees </w:t>
      </w:r>
      <w:r w:rsidR="009D3AD2">
        <w:rPr>
          <w:rFonts w:cs="Arial"/>
          <w:color w:val="000000"/>
          <w:sz w:val="20"/>
        </w:rPr>
        <w:t xml:space="preserve">for the semester beginning </w:t>
      </w:r>
      <w:proofErr w:type="spellStart"/>
      <w:r w:rsidR="009D3AD2">
        <w:rPr>
          <w:rFonts w:cs="Arial"/>
          <w:color w:val="000000"/>
          <w:sz w:val="20"/>
        </w:rPr>
        <w:t>Novermber</w:t>
      </w:r>
      <w:proofErr w:type="spellEnd"/>
      <w:r w:rsidR="009D3AD2">
        <w:rPr>
          <w:rFonts w:cs="Arial"/>
          <w:color w:val="000000"/>
          <w:sz w:val="20"/>
        </w:rPr>
        <w:t xml:space="preserve"> </w:t>
      </w:r>
      <w:r w:rsidRPr="007248E5">
        <w:rPr>
          <w:rFonts w:cs="Arial"/>
          <w:color w:val="000000"/>
          <w:sz w:val="20"/>
        </w:rPr>
        <w:t>2009</w:t>
      </w:r>
      <w:r w:rsidR="009D3AD2">
        <w:rPr>
          <w:rFonts w:cs="Arial"/>
          <w:color w:val="000000"/>
          <w:sz w:val="20"/>
        </w:rPr>
        <w:t xml:space="preserve"> for new students </w:t>
      </w:r>
      <w:r w:rsidRPr="007248E5">
        <w:rPr>
          <w:rFonts w:cs="Arial"/>
          <w:color w:val="000000"/>
          <w:sz w:val="20"/>
        </w:rPr>
        <w:t xml:space="preserve">for the Kuala Lumpur Infrastructure University College (KLIUC).   </w:t>
      </w:r>
      <w:r w:rsidR="009D3AD2">
        <w:rPr>
          <w:rFonts w:cs="Arial"/>
          <w:color w:val="000000"/>
          <w:sz w:val="20"/>
        </w:rPr>
        <w:t xml:space="preserve">Higher revenue from research grants and consultancy services had also improve this segments overall results.  However, the training </w:t>
      </w:r>
      <w:proofErr w:type="gramStart"/>
      <w:r w:rsidR="009D3AD2">
        <w:rPr>
          <w:rFonts w:cs="Arial"/>
          <w:color w:val="000000"/>
          <w:sz w:val="20"/>
        </w:rPr>
        <w:t>units</w:t>
      </w:r>
      <w:r w:rsidRPr="007248E5">
        <w:rPr>
          <w:rFonts w:cs="Arial"/>
          <w:color w:val="000000"/>
          <w:sz w:val="20"/>
        </w:rPr>
        <w:t>, which generally depends</w:t>
      </w:r>
      <w:proofErr w:type="gramEnd"/>
      <w:r w:rsidRPr="007248E5">
        <w:rPr>
          <w:rFonts w:cs="Arial"/>
          <w:color w:val="000000"/>
          <w:sz w:val="20"/>
        </w:rPr>
        <w:t xml:space="preserve"> on the public sector’s budget allocations for training and development for its source of revenue, suffered losses in its business due to reduction in allocation by the public sector during the year.      </w:t>
      </w:r>
    </w:p>
    <w:p w:rsidR="00C46FCB" w:rsidRPr="007248E5" w:rsidRDefault="00C46FCB" w:rsidP="00C46FCB">
      <w:pPr>
        <w:pStyle w:val="BodyTextIndent"/>
        <w:rPr>
          <w:rFonts w:cs="Arial"/>
          <w:sz w:val="20"/>
        </w:rPr>
      </w:pPr>
    </w:p>
    <w:p w:rsidR="00E16FF1" w:rsidRPr="007248E5" w:rsidRDefault="00E16FF1" w:rsidP="00C46FCB">
      <w:pPr>
        <w:pStyle w:val="BodyTextIndent"/>
        <w:rPr>
          <w:rFonts w:cs="Arial"/>
          <w:sz w:val="20"/>
        </w:rPr>
      </w:pPr>
    </w:p>
    <w:p w:rsidR="00C46FCB" w:rsidRPr="007248E5" w:rsidRDefault="00C46FCB" w:rsidP="00C46FCB">
      <w:pPr>
        <w:numPr>
          <w:ilvl w:val="0"/>
          <w:numId w:val="16"/>
        </w:numPr>
        <w:jc w:val="both"/>
        <w:rPr>
          <w:rFonts w:ascii="Arial" w:hAnsi="Arial" w:cs="Arial"/>
          <w:b/>
          <w:u w:val="single"/>
        </w:rPr>
      </w:pPr>
      <w:r w:rsidRPr="007248E5">
        <w:rPr>
          <w:rFonts w:ascii="Arial" w:hAnsi="Arial" w:cs="Arial"/>
          <w:b/>
          <w:u w:val="single"/>
        </w:rPr>
        <w:t xml:space="preserve">Property Development  </w:t>
      </w:r>
    </w:p>
    <w:p w:rsidR="00C46FCB" w:rsidRPr="007248E5" w:rsidRDefault="00C46FCB" w:rsidP="00C46FCB">
      <w:pPr>
        <w:pStyle w:val="BodyTextIndent"/>
        <w:rPr>
          <w:rFonts w:cs="Arial"/>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1326"/>
        <w:gridCol w:w="1279"/>
        <w:gridCol w:w="1231"/>
        <w:gridCol w:w="1325"/>
      </w:tblGrid>
      <w:tr w:rsidR="00BD32D9" w:rsidRPr="007248E5" w:rsidTr="00BD32D9">
        <w:tc>
          <w:tcPr>
            <w:tcW w:w="3216" w:type="dxa"/>
            <w:tcBorders>
              <w:bottom w:val="nil"/>
            </w:tcBorders>
          </w:tcPr>
          <w:p w:rsidR="00C46FCB" w:rsidRPr="007248E5" w:rsidRDefault="00C46FCB" w:rsidP="00BD32D9">
            <w:pPr>
              <w:pStyle w:val="BodyTextIndent"/>
              <w:ind w:left="0"/>
              <w:rPr>
                <w:rFonts w:cs="Arial"/>
                <w:sz w:val="20"/>
              </w:rPr>
            </w:pPr>
          </w:p>
        </w:tc>
        <w:tc>
          <w:tcPr>
            <w:tcW w:w="1326"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Qtr ended</w:t>
            </w:r>
          </w:p>
        </w:tc>
        <w:tc>
          <w:tcPr>
            <w:tcW w:w="1279"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Y-T-D ended</w:t>
            </w:r>
          </w:p>
        </w:tc>
        <w:tc>
          <w:tcPr>
            <w:tcW w:w="1231"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Qtr ended</w:t>
            </w:r>
          </w:p>
        </w:tc>
        <w:tc>
          <w:tcPr>
            <w:tcW w:w="1325" w:type="dxa"/>
            <w:tcBorders>
              <w:bottom w:val="nil"/>
            </w:tcBorders>
          </w:tcPr>
          <w:p w:rsidR="00C46FCB" w:rsidRPr="007248E5" w:rsidRDefault="00C46FCB" w:rsidP="00BD32D9">
            <w:pPr>
              <w:pStyle w:val="BodyTextIndent"/>
              <w:ind w:left="0"/>
              <w:jc w:val="center"/>
              <w:rPr>
                <w:rFonts w:cs="Arial"/>
                <w:b/>
                <w:sz w:val="20"/>
              </w:rPr>
            </w:pPr>
            <w:r w:rsidRPr="007248E5">
              <w:rPr>
                <w:rFonts w:cs="Arial"/>
                <w:b/>
                <w:sz w:val="20"/>
              </w:rPr>
              <w:t>Y-T-D ended</w:t>
            </w:r>
          </w:p>
        </w:tc>
      </w:tr>
      <w:tr w:rsidR="00BD32D9" w:rsidRPr="007248E5" w:rsidTr="00BD32D9">
        <w:tc>
          <w:tcPr>
            <w:tcW w:w="3216" w:type="dxa"/>
            <w:tcBorders>
              <w:top w:val="nil"/>
              <w:bottom w:val="nil"/>
            </w:tcBorders>
          </w:tcPr>
          <w:p w:rsidR="00C46FCB" w:rsidRPr="007248E5" w:rsidRDefault="00C46FCB" w:rsidP="00BD32D9">
            <w:pPr>
              <w:pStyle w:val="BodyTextIndent"/>
              <w:ind w:left="0"/>
              <w:rPr>
                <w:rFonts w:cs="Arial"/>
                <w:sz w:val="20"/>
              </w:rPr>
            </w:pPr>
          </w:p>
        </w:tc>
        <w:tc>
          <w:tcPr>
            <w:tcW w:w="1326"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31.12.2011</w:t>
            </w:r>
          </w:p>
        </w:tc>
        <w:tc>
          <w:tcPr>
            <w:tcW w:w="1279"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31.12.2011</w:t>
            </w:r>
          </w:p>
        </w:tc>
        <w:tc>
          <w:tcPr>
            <w:tcW w:w="1231"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31.12.2010</w:t>
            </w:r>
          </w:p>
        </w:tc>
        <w:tc>
          <w:tcPr>
            <w:tcW w:w="1325" w:type="dxa"/>
            <w:tcBorders>
              <w:top w:val="nil"/>
              <w:bottom w:val="nil"/>
            </w:tcBorders>
          </w:tcPr>
          <w:p w:rsidR="00C46FCB" w:rsidRPr="007248E5" w:rsidRDefault="00C46FCB" w:rsidP="00BD32D9">
            <w:pPr>
              <w:pStyle w:val="BodyTextIndent"/>
              <w:ind w:left="0"/>
              <w:jc w:val="center"/>
              <w:rPr>
                <w:rFonts w:cs="Arial"/>
                <w:b/>
                <w:sz w:val="20"/>
              </w:rPr>
            </w:pPr>
            <w:r w:rsidRPr="007248E5">
              <w:rPr>
                <w:rFonts w:cs="Arial"/>
                <w:b/>
                <w:sz w:val="20"/>
              </w:rPr>
              <w:t>31.12.2010</w:t>
            </w:r>
          </w:p>
        </w:tc>
      </w:tr>
      <w:tr w:rsidR="00BD32D9" w:rsidRPr="007248E5" w:rsidTr="00BD32D9">
        <w:tc>
          <w:tcPr>
            <w:tcW w:w="3216" w:type="dxa"/>
            <w:tcBorders>
              <w:top w:val="nil"/>
            </w:tcBorders>
          </w:tcPr>
          <w:p w:rsidR="00C46FCB" w:rsidRPr="007248E5" w:rsidRDefault="00C46FCB" w:rsidP="00BD32D9">
            <w:pPr>
              <w:pStyle w:val="BodyTextIndent"/>
              <w:ind w:left="0"/>
              <w:rPr>
                <w:rFonts w:cs="Arial"/>
                <w:sz w:val="20"/>
              </w:rPr>
            </w:pPr>
          </w:p>
        </w:tc>
        <w:tc>
          <w:tcPr>
            <w:tcW w:w="1326"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c>
          <w:tcPr>
            <w:tcW w:w="1279"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c>
          <w:tcPr>
            <w:tcW w:w="1231"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c>
          <w:tcPr>
            <w:tcW w:w="1325" w:type="dxa"/>
            <w:tcBorders>
              <w:top w:val="nil"/>
            </w:tcBorders>
          </w:tcPr>
          <w:p w:rsidR="00C46FCB" w:rsidRPr="007248E5" w:rsidRDefault="00C46FCB" w:rsidP="00BD32D9">
            <w:pPr>
              <w:pStyle w:val="BodyTextIndent"/>
              <w:ind w:left="0"/>
              <w:jc w:val="center"/>
              <w:rPr>
                <w:rFonts w:cs="Arial"/>
                <w:sz w:val="20"/>
              </w:rPr>
            </w:pPr>
            <w:r w:rsidRPr="007248E5">
              <w:rPr>
                <w:rFonts w:cs="Arial"/>
                <w:sz w:val="20"/>
              </w:rPr>
              <w:t>RM’000</w:t>
            </w:r>
          </w:p>
        </w:tc>
      </w:tr>
      <w:tr w:rsidR="00BD32D9" w:rsidRPr="007248E5" w:rsidTr="00644031">
        <w:tc>
          <w:tcPr>
            <w:tcW w:w="3216" w:type="dxa"/>
          </w:tcPr>
          <w:p w:rsidR="00644031" w:rsidRPr="007248E5" w:rsidRDefault="00644031" w:rsidP="00BD32D9">
            <w:pPr>
              <w:pStyle w:val="BodyTextIndent"/>
              <w:ind w:left="0"/>
              <w:rPr>
                <w:rFonts w:cs="Arial"/>
                <w:sz w:val="20"/>
              </w:rPr>
            </w:pPr>
          </w:p>
          <w:p w:rsidR="00C46FCB" w:rsidRPr="007248E5" w:rsidRDefault="00C46FCB" w:rsidP="00644031">
            <w:pPr>
              <w:pStyle w:val="BodyTextIndent"/>
              <w:ind w:left="0"/>
              <w:rPr>
                <w:rFonts w:cs="Arial"/>
                <w:sz w:val="20"/>
              </w:rPr>
            </w:pPr>
            <w:r w:rsidRPr="007248E5">
              <w:rPr>
                <w:rFonts w:cs="Arial"/>
                <w:sz w:val="20"/>
              </w:rPr>
              <w:t>Revenue</w:t>
            </w:r>
          </w:p>
        </w:tc>
        <w:tc>
          <w:tcPr>
            <w:tcW w:w="1326" w:type="dxa"/>
            <w:vAlign w:val="bottom"/>
          </w:tcPr>
          <w:p w:rsidR="00C46FCB" w:rsidRPr="007248E5" w:rsidRDefault="00885D87" w:rsidP="00644031">
            <w:pPr>
              <w:pStyle w:val="BodyTextIndent"/>
              <w:ind w:left="0"/>
              <w:jc w:val="right"/>
              <w:rPr>
                <w:rFonts w:cs="Arial"/>
                <w:sz w:val="20"/>
              </w:rPr>
            </w:pPr>
            <w:r w:rsidRPr="007248E5">
              <w:rPr>
                <w:rFonts w:cs="Arial"/>
                <w:sz w:val="20"/>
              </w:rPr>
              <w:t>1,178</w:t>
            </w:r>
          </w:p>
        </w:tc>
        <w:tc>
          <w:tcPr>
            <w:tcW w:w="1279" w:type="dxa"/>
            <w:vAlign w:val="bottom"/>
          </w:tcPr>
          <w:p w:rsidR="00C46FCB" w:rsidRPr="007248E5" w:rsidRDefault="00885D87" w:rsidP="00644031">
            <w:pPr>
              <w:pStyle w:val="BodyTextIndent"/>
              <w:ind w:left="0"/>
              <w:jc w:val="right"/>
              <w:rPr>
                <w:rFonts w:cs="Arial"/>
                <w:sz w:val="20"/>
              </w:rPr>
            </w:pPr>
            <w:r w:rsidRPr="007248E5">
              <w:rPr>
                <w:rFonts w:cs="Arial"/>
                <w:sz w:val="20"/>
              </w:rPr>
              <w:t>16,487</w:t>
            </w:r>
          </w:p>
        </w:tc>
        <w:tc>
          <w:tcPr>
            <w:tcW w:w="1231" w:type="dxa"/>
            <w:vAlign w:val="bottom"/>
          </w:tcPr>
          <w:p w:rsidR="00C46FCB" w:rsidRPr="007248E5" w:rsidRDefault="008E2719" w:rsidP="00644031">
            <w:pPr>
              <w:pStyle w:val="BodyTextIndent"/>
              <w:ind w:left="0"/>
              <w:jc w:val="right"/>
              <w:rPr>
                <w:rFonts w:cs="Arial"/>
                <w:sz w:val="20"/>
              </w:rPr>
            </w:pPr>
            <w:r w:rsidRPr="007248E5">
              <w:rPr>
                <w:rFonts w:cs="Arial"/>
                <w:sz w:val="20"/>
              </w:rPr>
              <w:t>10,359</w:t>
            </w:r>
          </w:p>
        </w:tc>
        <w:tc>
          <w:tcPr>
            <w:tcW w:w="1325" w:type="dxa"/>
            <w:vAlign w:val="bottom"/>
          </w:tcPr>
          <w:p w:rsidR="00C46FCB" w:rsidRPr="007248E5" w:rsidRDefault="00ED1A00" w:rsidP="00644031">
            <w:pPr>
              <w:pStyle w:val="BodyTextIndent"/>
              <w:ind w:left="0"/>
              <w:jc w:val="right"/>
              <w:rPr>
                <w:rFonts w:cs="Arial"/>
                <w:sz w:val="20"/>
              </w:rPr>
            </w:pPr>
            <w:r w:rsidRPr="007248E5">
              <w:rPr>
                <w:rFonts w:cs="Arial"/>
                <w:sz w:val="20"/>
              </w:rPr>
              <w:t>20,235</w:t>
            </w:r>
          </w:p>
        </w:tc>
      </w:tr>
      <w:tr w:rsidR="00BD32D9" w:rsidRPr="007248E5" w:rsidTr="00644031">
        <w:tc>
          <w:tcPr>
            <w:tcW w:w="3216" w:type="dxa"/>
          </w:tcPr>
          <w:p w:rsidR="00644031" w:rsidRPr="007248E5" w:rsidRDefault="00644031" w:rsidP="00BD32D9">
            <w:pPr>
              <w:pStyle w:val="BodyTextIndent"/>
              <w:ind w:left="0"/>
              <w:rPr>
                <w:rFonts w:cs="Arial"/>
                <w:sz w:val="20"/>
              </w:rPr>
            </w:pPr>
          </w:p>
          <w:p w:rsidR="00C46FCB" w:rsidRPr="007248E5" w:rsidRDefault="00C46FCB" w:rsidP="00644031">
            <w:pPr>
              <w:pStyle w:val="BodyTextIndent"/>
              <w:ind w:left="0"/>
              <w:rPr>
                <w:rFonts w:cs="Arial"/>
                <w:sz w:val="20"/>
              </w:rPr>
            </w:pPr>
            <w:r w:rsidRPr="007248E5">
              <w:rPr>
                <w:rFonts w:cs="Arial"/>
                <w:sz w:val="20"/>
              </w:rPr>
              <w:t>Operating Profit / (Loss)</w:t>
            </w:r>
          </w:p>
        </w:tc>
        <w:tc>
          <w:tcPr>
            <w:tcW w:w="1326" w:type="dxa"/>
            <w:vAlign w:val="bottom"/>
          </w:tcPr>
          <w:p w:rsidR="00C46FCB" w:rsidRPr="007248E5" w:rsidRDefault="00885D87" w:rsidP="00644031">
            <w:pPr>
              <w:pStyle w:val="BodyTextIndent"/>
              <w:ind w:left="0"/>
              <w:jc w:val="right"/>
              <w:rPr>
                <w:rFonts w:cs="Arial"/>
                <w:sz w:val="20"/>
              </w:rPr>
            </w:pPr>
            <w:r w:rsidRPr="007248E5">
              <w:rPr>
                <w:rFonts w:cs="Arial"/>
                <w:sz w:val="20"/>
              </w:rPr>
              <w:t>2</w:t>
            </w:r>
            <w:r w:rsidR="00E16FF1" w:rsidRPr="007248E5">
              <w:rPr>
                <w:rFonts w:cs="Arial"/>
                <w:sz w:val="20"/>
              </w:rPr>
              <w:t>0</w:t>
            </w:r>
            <w:r w:rsidRPr="007248E5">
              <w:rPr>
                <w:rFonts w:cs="Arial"/>
                <w:sz w:val="20"/>
              </w:rPr>
              <w:t>7</w:t>
            </w:r>
          </w:p>
        </w:tc>
        <w:tc>
          <w:tcPr>
            <w:tcW w:w="1279" w:type="dxa"/>
            <w:vAlign w:val="bottom"/>
          </w:tcPr>
          <w:p w:rsidR="00C46FCB" w:rsidRPr="007248E5" w:rsidRDefault="00644031" w:rsidP="00644031">
            <w:pPr>
              <w:pStyle w:val="BodyTextIndent"/>
              <w:ind w:left="0"/>
              <w:jc w:val="right"/>
              <w:rPr>
                <w:rFonts w:cs="Arial"/>
                <w:sz w:val="20"/>
              </w:rPr>
            </w:pPr>
            <w:r w:rsidRPr="007248E5">
              <w:rPr>
                <w:rFonts w:cs="Arial"/>
                <w:sz w:val="20"/>
              </w:rPr>
              <w:t>1,679</w:t>
            </w:r>
          </w:p>
        </w:tc>
        <w:tc>
          <w:tcPr>
            <w:tcW w:w="1231" w:type="dxa"/>
            <w:vAlign w:val="bottom"/>
          </w:tcPr>
          <w:p w:rsidR="00C46FCB" w:rsidRPr="007248E5" w:rsidRDefault="008E2719" w:rsidP="00644031">
            <w:pPr>
              <w:pStyle w:val="BodyTextIndent"/>
              <w:ind w:left="0"/>
              <w:jc w:val="right"/>
              <w:rPr>
                <w:rFonts w:cs="Arial"/>
                <w:sz w:val="20"/>
              </w:rPr>
            </w:pPr>
            <w:r w:rsidRPr="007248E5">
              <w:rPr>
                <w:rFonts w:cs="Arial"/>
                <w:sz w:val="20"/>
              </w:rPr>
              <w:t>404</w:t>
            </w:r>
          </w:p>
        </w:tc>
        <w:tc>
          <w:tcPr>
            <w:tcW w:w="1325" w:type="dxa"/>
            <w:vAlign w:val="bottom"/>
          </w:tcPr>
          <w:p w:rsidR="00C46FCB" w:rsidRPr="007248E5" w:rsidRDefault="00ED1A00" w:rsidP="00644031">
            <w:pPr>
              <w:pStyle w:val="BodyTextIndent"/>
              <w:ind w:left="0"/>
              <w:jc w:val="right"/>
              <w:rPr>
                <w:rFonts w:cs="Arial"/>
                <w:sz w:val="20"/>
              </w:rPr>
            </w:pPr>
            <w:r w:rsidRPr="007248E5">
              <w:rPr>
                <w:rFonts w:cs="Arial"/>
                <w:sz w:val="20"/>
              </w:rPr>
              <w:t>1,891</w:t>
            </w:r>
          </w:p>
        </w:tc>
      </w:tr>
    </w:tbl>
    <w:p w:rsidR="00C46FCB" w:rsidRPr="007248E5" w:rsidRDefault="00C46FCB" w:rsidP="00C46FCB">
      <w:pPr>
        <w:pStyle w:val="BodyTextIndent"/>
        <w:rPr>
          <w:rFonts w:cs="Arial"/>
          <w:sz w:val="20"/>
        </w:rPr>
      </w:pPr>
    </w:p>
    <w:p w:rsidR="00644031" w:rsidRDefault="00644031" w:rsidP="00644031">
      <w:pPr>
        <w:pStyle w:val="BodyTextIndent"/>
        <w:rPr>
          <w:rFonts w:cs="Arial"/>
          <w:color w:val="000000"/>
          <w:sz w:val="20"/>
        </w:rPr>
      </w:pPr>
      <w:r w:rsidRPr="007248E5">
        <w:rPr>
          <w:rFonts w:cs="Arial"/>
          <w:sz w:val="20"/>
        </w:rPr>
        <w:t xml:space="preserve">Presently this </w:t>
      </w:r>
      <w:r w:rsidRPr="007248E5">
        <w:rPr>
          <w:rFonts w:cs="Arial"/>
          <w:color w:val="000000"/>
          <w:sz w:val="20"/>
        </w:rPr>
        <w:t xml:space="preserve">segment’s only project is the development of </w:t>
      </w:r>
      <w:proofErr w:type="spellStart"/>
      <w:r w:rsidRPr="007248E5">
        <w:rPr>
          <w:rFonts w:cs="Arial"/>
          <w:color w:val="000000"/>
          <w:sz w:val="20"/>
        </w:rPr>
        <w:t>Unipark</w:t>
      </w:r>
      <w:proofErr w:type="spellEnd"/>
      <w:r w:rsidRPr="007248E5">
        <w:rPr>
          <w:rFonts w:cs="Arial"/>
          <w:color w:val="000000"/>
          <w:sz w:val="20"/>
        </w:rPr>
        <w:t xml:space="preserve"> </w:t>
      </w:r>
      <w:proofErr w:type="spellStart"/>
      <w:r w:rsidRPr="007248E5">
        <w:rPr>
          <w:rFonts w:cs="Arial"/>
          <w:color w:val="000000"/>
          <w:sz w:val="20"/>
        </w:rPr>
        <w:t>Suria</w:t>
      </w:r>
      <w:proofErr w:type="spellEnd"/>
      <w:r w:rsidRPr="007248E5">
        <w:rPr>
          <w:rFonts w:cs="Arial"/>
          <w:color w:val="000000"/>
          <w:sz w:val="20"/>
        </w:rPr>
        <w:t xml:space="preserve"> Condominium in </w:t>
      </w:r>
      <w:proofErr w:type="spellStart"/>
      <w:r w:rsidRPr="007248E5">
        <w:rPr>
          <w:rFonts w:cs="Arial"/>
          <w:color w:val="000000"/>
          <w:sz w:val="20"/>
        </w:rPr>
        <w:t>Kajang</w:t>
      </w:r>
      <w:proofErr w:type="spellEnd"/>
      <w:r w:rsidRPr="007248E5">
        <w:rPr>
          <w:rFonts w:cs="Arial"/>
          <w:color w:val="000000"/>
          <w:sz w:val="20"/>
        </w:rPr>
        <w:t xml:space="preserve">.    Turnover and operating results were lower compared to corresponding period last year due to the Block B </w:t>
      </w:r>
      <w:proofErr w:type="spellStart"/>
      <w:r w:rsidRPr="007248E5">
        <w:rPr>
          <w:rFonts w:cs="Arial"/>
          <w:color w:val="000000"/>
          <w:sz w:val="20"/>
        </w:rPr>
        <w:t>Unipark</w:t>
      </w:r>
      <w:proofErr w:type="spellEnd"/>
      <w:r w:rsidRPr="007248E5">
        <w:rPr>
          <w:rFonts w:cs="Arial"/>
          <w:color w:val="000000"/>
          <w:sz w:val="20"/>
        </w:rPr>
        <w:t xml:space="preserve"> </w:t>
      </w:r>
      <w:proofErr w:type="spellStart"/>
      <w:r w:rsidRPr="007248E5">
        <w:rPr>
          <w:rFonts w:cs="Arial"/>
          <w:color w:val="000000"/>
          <w:sz w:val="20"/>
        </w:rPr>
        <w:t>Suria</w:t>
      </w:r>
      <w:proofErr w:type="spellEnd"/>
      <w:r w:rsidRPr="007248E5">
        <w:rPr>
          <w:rFonts w:cs="Arial"/>
          <w:color w:val="000000"/>
          <w:sz w:val="20"/>
        </w:rPr>
        <w:t xml:space="preserve"> Condominium nearing completion towards the end of the year 2011.  Other </w:t>
      </w:r>
      <w:proofErr w:type="gramStart"/>
      <w:r w:rsidRPr="007248E5">
        <w:rPr>
          <w:rFonts w:cs="Arial"/>
          <w:color w:val="000000"/>
          <w:sz w:val="20"/>
        </w:rPr>
        <w:t>project are</w:t>
      </w:r>
      <w:proofErr w:type="gramEnd"/>
      <w:r w:rsidRPr="007248E5">
        <w:rPr>
          <w:rFonts w:cs="Arial"/>
          <w:color w:val="000000"/>
          <w:sz w:val="20"/>
        </w:rPr>
        <w:t xml:space="preserve"> still in early development stage and the results is anticipated to be recorded from Year 2012 and beyond.  </w:t>
      </w:r>
    </w:p>
    <w:p w:rsidR="00997F63" w:rsidRDefault="00997F63" w:rsidP="00644031">
      <w:pPr>
        <w:pStyle w:val="BodyTextIndent"/>
        <w:rPr>
          <w:rFonts w:cs="Arial"/>
          <w:color w:val="000000"/>
          <w:sz w:val="20"/>
        </w:rPr>
      </w:pPr>
    </w:p>
    <w:p w:rsidR="00997F63" w:rsidRPr="007248E5" w:rsidRDefault="00997F63" w:rsidP="00644031">
      <w:pPr>
        <w:pStyle w:val="BodyTextIndent"/>
        <w:rPr>
          <w:rFonts w:cs="Arial"/>
          <w:sz w:val="20"/>
        </w:rPr>
      </w:pPr>
      <w:r>
        <w:rPr>
          <w:rFonts w:cs="Arial"/>
          <w:color w:val="000000"/>
          <w:sz w:val="20"/>
        </w:rPr>
        <w:br w:type="page"/>
      </w:r>
    </w:p>
    <w:p w:rsidR="008A633A" w:rsidRPr="007248E5" w:rsidRDefault="00637910" w:rsidP="00002BF3">
      <w:pPr>
        <w:tabs>
          <w:tab w:val="left" w:pos="720"/>
        </w:tabs>
        <w:ind w:left="709" w:hanging="709"/>
        <w:jc w:val="both"/>
        <w:rPr>
          <w:rFonts w:ascii="Arial" w:hAnsi="Arial" w:cs="Arial"/>
          <w:b/>
          <w:bCs/>
        </w:rPr>
      </w:pPr>
      <w:r w:rsidRPr="007248E5">
        <w:rPr>
          <w:rFonts w:ascii="Arial" w:hAnsi="Arial" w:cs="Arial"/>
          <w:b/>
          <w:bCs/>
        </w:rPr>
        <w:lastRenderedPageBreak/>
        <w:t>15</w:t>
      </w:r>
      <w:r w:rsidR="00C71946" w:rsidRPr="007248E5">
        <w:rPr>
          <w:rFonts w:ascii="Arial" w:hAnsi="Arial" w:cs="Arial"/>
          <w:b/>
          <w:bCs/>
        </w:rPr>
        <w:t>.</w:t>
      </w:r>
      <w:r w:rsidR="00C71946" w:rsidRPr="007248E5">
        <w:rPr>
          <w:rFonts w:ascii="Arial" w:hAnsi="Arial" w:cs="Arial"/>
          <w:b/>
          <w:bCs/>
        </w:rPr>
        <w:tab/>
      </w:r>
      <w:r w:rsidR="008A633A" w:rsidRPr="007248E5">
        <w:rPr>
          <w:rFonts w:ascii="Arial" w:hAnsi="Arial" w:cs="Arial"/>
          <w:b/>
          <w:bCs/>
        </w:rPr>
        <w:t>M</w:t>
      </w:r>
      <w:r w:rsidR="00C70C1C" w:rsidRPr="007248E5">
        <w:rPr>
          <w:rFonts w:ascii="Arial" w:hAnsi="Arial" w:cs="Arial"/>
          <w:b/>
          <w:bCs/>
        </w:rPr>
        <w:t>aterial Change</w:t>
      </w:r>
      <w:r w:rsidR="00DA1B27" w:rsidRPr="007248E5">
        <w:rPr>
          <w:rFonts w:ascii="Arial" w:hAnsi="Arial" w:cs="Arial"/>
          <w:b/>
          <w:bCs/>
        </w:rPr>
        <w:t>s</w:t>
      </w:r>
      <w:r w:rsidR="00C70C1C" w:rsidRPr="007248E5">
        <w:rPr>
          <w:rFonts w:ascii="Arial" w:hAnsi="Arial" w:cs="Arial"/>
          <w:b/>
          <w:bCs/>
        </w:rPr>
        <w:t xml:space="preserve"> in </w:t>
      </w:r>
      <w:r w:rsidR="00DA1B27" w:rsidRPr="007248E5">
        <w:rPr>
          <w:rFonts w:ascii="Arial" w:hAnsi="Arial" w:cs="Arial"/>
          <w:b/>
          <w:bCs/>
        </w:rPr>
        <w:t xml:space="preserve">the Quarterly Results Compared to the Results of the Preceding Quarter </w:t>
      </w:r>
    </w:p>
    <w:p w:rsidR="008A633A" w:rsidRPr="007248E5" w:rsidRDefault="008A633A">
      <w:pPr>
        <w:jc w:val="both"/>
        <w:rPr>
          <w:rFonts w:ascii="Arial" w:hAnsi="Arial" w:cs="Arial"/>
          <w:b/>
          <w:bCs/>
        </w:rPr>
      </w:pPr>
    </w:p>
    <w:p w:rsidR="005177C9" w:rsidRPr="007248E5" w:rsidRDefault="004E28CA" w:rsidP="005177C9">
      <w:pPr>
        <w:pStyle w:val="BodyTextIndent"/>
        <w:rPr>
          <w:rFonts w:cs="Arial"/>
          <w:sz w:val="20"/>
        </w:rPr>
      </w:pPr>
      <w:r w:rsidRPr="007248E5">
        <w:rPr>
          <w:rFonts w:cs="Arial"/>
          <w:sz w:val="20"/>
        </w:rPr>
        <w:t xml:space="preserve">Consistent with </w:t>
      </w:r>
      <w:r w:rsidR="009139A1" w:rsidRPr="007248E5">
        <w:rPr>
          <w:rFonts w:cs="Arial"/>
          <w:sz w:val="20"/>
        </w:rPr>
        <w:t xml:space="preserve">the trend in </w:t>
      </w:r>
      <w:r w:rsidRPr="007248E5">
        <w:rPr>
          <w:rFonts w:cs="Arial"/>
          <w:sz w:val="20"/>
        </w:rPr>
        <w:t>previous years</w:t>
      </w:r>
      <w:r w:rsidR="009139A1" w:rsidRPr="007248E5">
        <w:rPr>
          <w:rFonts w:cs="Arial"/>
          <w:sz w:val="20"/>
        </w:rPr>
        <w:t>, r</w:t>
      </w:r>
      <w:r w:rsidR="005177C9" w:rsidRPr="007248E5">
        <w:rPr>
          <w:rFonts w:cs="Arial"/>
          <w:sz w:val="20"/>
        </w:rPr>
        <w:t xml:space="preserve">evenue for </w:t>
      </w:r>
      <w:r w:rsidRPr="007248E5">
        <w:rPr>
          <w:rFonts w:cs="Arial"/>
          <w:sz w:val="20"/>
        </w:rPr>
        <w:t xml:space="preserve">the last quarter of 2011 registered significant growth compared to </w:t>
      </w:r>
      <w:r w:rsidR="009139A1" w:rsidRPr="007248E5">
        <w:rPr>
          <w:rFonts w:cs="Arial"/>
          <w:sz w:val="20"/>
        </w:rPr>
        <w:t>the immediate preceding q</w:t>
      </w:r>
      <w:r w:rsidRPr="007248E5">
        <w:rPr>
          <w:rFonts w:cs="Arial"/>
          <w:sz w:val="20"/>
        </w:rPr>
        <w:t>uarter</w:t>
      </w:r>
      <w:r w:rsidR="00F54EF2" w:rsidRPr="007248E5">
        <w:rPr>
          <w:rFonts w:cs="Arial"/>
          <w:sz w:val="20"/>
        </w:rPr>
        <w:t>.</w:t>
      </w:r>
      <w:r w:rsidR="009139A1" w:rsidRPr="007248E5">
        <w:rPr>
          <w:rFonts w:cs="Arial"/>
          <w:sz w:val="20"/>
        </w:rPr>
        <w:t xml:space="preserve"> </w:t>
      </w:r>
      <w:r w:rsidR="005177C9" w:rsidRPr="007248E5">
        <w:rPr>
          <w:rFonts w:cs="Arial"/>
          <w:sz w:val="20"/>
        </w:rPr>
        <w:t xml:space="preserve"> </w:t>
      </w:r>
      <w:r w:rsidRPr="007248E5">
        <w:rPr>
          <w:rFonts w:cs="Arial"/>
          <w:sz w:val="20"/>
        </w:rPr>
        <w:t xml:space="preserve">This was mainly due to increase business volume and allocation from the public sectors towards the final quarter of the year.  Revenue for the quarter registered </w:t>
      </w:r>
      <w:r w:rsidR="005177C9" w:rsidRPr="007248E5">
        <w:rPr>
          <w:rFonts w:cs="Arial"/>
          <w:sz w:val="20"/>
        </w:rPr>
        <w:t xml:space="preserve">increased by </w:t>
      </w:r>
      <w:r w:rsidR="009139A1" w:rsidRPr="007248E5">
        <w:rPr>
          <w:rFonts w:cs="Arial"/>
          <w:sz w:val="20"/>
        </w:rPr>
        <w:t>41.7</w:t>
      </w:r>
      <w:r w:rsidR="005177C9" w:rsidRPr="007248E5">
        <w:rPr>
          <w:rFonts w:cs="Arial"/>
          <w:sz w:val="20"/>
        </w:rPr>
        <w:t>%</w:t>
      </w:r>
      <w:r w:rsidR="009139A1" w:rsidRPr="007248E5">
        <w:rPr>
          <w:rFonts w:cs="Arial"/>
          <w:sz w:val="20"/>
        </w:rPr>
        <w:t xml:space="preserve"> to RM249 million in </w:t>
      </w:r>
      <w:r w:rsidR="005177C9" w:rsidRPr="007248E5">
        <w:rPr>
          <w:rFonts w:cs="Arial"/>
          <w:sz w:val="20"/>
        </w:rPr>
        <w:t xml:space="preserve">the current quarter compared to the </w:t>
      </w:r>
      <w:r w:rsidR="009139A1" w:rsidRPr="007248E5">
        <w:rPr>
          <w:rFonts w:cs="Arial"/>
          <w:sz w:val="20"/>
        </w:rPr>
        <w:t>immediate past</w:t>
      </w:r>
      <w:r w:rsidR="005177C9" w:rsidRPr="007248E5">
        <w:rPr>
          <w:rFonts w:cs="Arial"/>
          <w:sz w:val="20"/>
        </w:rPr>
        <w:t xml:space="preserve"> quarter.  The increase is </w:t>
      </w:r>
      <w:r w:rsidR="009139A1" w:rsidRPr="007248E5">
        <w:rPr>
          <w:rFonts w:cs="Arial"/>
          <w:sz w:val="20"/>
        </w:rPr>
        <w:t xml:space="preserve">mainly contributed by the Engineering Services segment and the Construction Contracts segment.  </w:t>
      </w:r>
      <w:r w:rsidR="005177C9" w:rsidRPr="007248E5">
        <w:rPr>
          <w:rFonts w:cs="Arial"/>
          <w:sz w:val="20"/>
        </w:rPr>
        <w:t xml:space="preserve"> </w:t>
      </w:r>
    </w:p>
    <w:p w:rsidR="005177C9" w:rsidRPr="007248E5" w:rsidRDefault="005177C9" w:rsidP="005177C9">
      <w:pPr>
        <w:pStyle w:val="BodyTextIndent"/>
        <w:rPr>
          <w:rFonts w:cs="Arial"/>
          <w:sz w:val="20"/>
        </w:rPr>
      </w:pPr>
      <w:r w:rsidRPr="007248E5">
        <w:rPr>
          <w:rFonts w:cs="Arial"/>
          <w:sz w:val="20"/>
        </w:rPr>
        <w:t xml:space="preserve">   </w:t>
      </w:r>
    </w:p>
    <w:p w:rsidR="00CE5788" w:rsidRPr="007248E5" w:rsidRDefault="005177C9" w:rsidP="005177C9">
      <w:pPr>
        <w:pStyle w:val="BodyTextIndent"/>
        <w:rPr>
          <w:rFonts w:cs="Arial"/>
          <w:sz w:val="20"/>
        </w:rPr>
      </w:pPr>
      <w:r w:rsidRPr="007248E5">
        <w:rPr>
          <w:rFonts w:cs="Arial"/>
          <w:sz w:val="20"/>
        </w:rPr>
        <w:t>Consequent to the above</w:t>
      </w:r>
      <w:r w:rsidR="009139A1" w:rsidRPr="007248E5">
        <w:rPr>
          <w:rFonts w:cs="Arial"/>
          <w:sz w:val="20"/>
        </w:rPr>
        <w:t>,</w:t>
      </w:r>
      <w:r w:rsidRPr="007248E5">
        <w:rPr>
          <w:rFonts w:cs="Arial"/>
          <w:sz w:val="20"/>
        </w:rPr>
        <w:t xml:space="preserve"> the current quarter’s PBT re</w:t>
      </w:r>
      <w:r w:rsidR="009139A1" w:rsidRPr="007248E5">
        <w:rPr>
          <w:rFonts w:cs="Arial"/>
          <w:sz w:val="20"/>
        </w:rPr>
        <w:t>corded</w:t>
      </w:r>
      <w:r w:rsidRPr="007248E5">
        <w:rPr>
          <w:rFonts w:cs="Arial"/>
          <w:sz w:val="20"/>
        </w:rPr>
        <w:t xml:space="preserve"> </w:t>
      </w:r>
      <w:r w:rsidR="009139A1" w:rsidRPr="007248E5">
        <w:rPr>
          <w:rFonts w:cs="Arial"/>
          <w:sz w:val="20"/>
        </w:rPr>
        <w:t xml:space="preserve">RM22.6 </w:t>
      </w:r>
      <w:proofErr w:type="gramStart"/>
      <w:r w:rsidR="009139A1" w:rsidRPr="007248E5">
        <w:rPr>
          <w:rFonts w:cs="Arial"/>
          <w:sz w:val="20"/>
        </w:rPr>
        <w:t>million,</w:t>
      </w:r>
      <w:proofErr w:type="gramEnd"/>
      <w:r w:rsidR="009139A1" w:rsidRPr="007248E5">
        <w:rPr>
          <w:rFonts w:cs="Arial"/>
          <w:sz w:val="20"/>
        </w:rPr>
        <w:t xml:space="preserve"> or 43.6% higher compared to the 3</w:t>
      </w:r>
      <w:r w:rsidR="009139A1" w:rsidRPr="007248E5">
        <w:rPr>
          <w:rFonts w:cs="Arial"/>
          <w:sz w:val="20"/>
          <w:vertAlign w:val="superscript"/>
        </w:rPr>
        <w:t>rd</w:t>
      </w:r>
      <w:r w:rsidR="009139A1" w:rsidRPr="007248E5">
        <w:rPr>
          <w:rFonts w:cs="Arial"/>
          <w:sz w:val="20"/>
        </w:rPr>
        <w:t xml:space="preserve"> quarter of the year while </w:t>
      </w:r>
      <w:r w:rsidRPr="007248E5">
        <w:rPr>
          <w:rFonts w:cs="Arial"/>
          <w:sz w:val="20"/>
        </w:rPr>
        <w:t xml:space="preserve">PATAMI </w:t>
      </w:r>
      <w:r w:rsidR="009139A1" w:rsidRPr="007248E5">
        <w:rPr>
          <w:rFonts w:cs="Arial"/>
          <w:sz w:val="20"/>
        </w:rPr>
        <w:t xml:space="preserve">registered a surge of 90.4% to close at RM11.6 million.   </w:t>
      </w:r>
    </w:p>
    <w:p w:rsidR="007F42A9" w:rsidRPr="007248E5" w:rsidRDefault="007F42A9" w:rsidP="007F42A9">
      <w:pPr>
        <w:pStyle w:val="BodyText"/>
        <w:tabs>
          <w:tab w:val="left" w:pos="720"/>
        </w:tabs>
        <w:ind w:left="720"/>
        <w:rPr>
          <w:rFonts w:cs="Arial"/>
          <w:sz w:val="20"/>
        </w:rPr>
      </w:pPr>
    </w:p>
    <w:p w:rsidR="008A633A" w:rsidRPr="007248E5" w:rsidRDefault="008A633A">
      <w:pPr>
        <w:jc w:val="both"/>
        <w:rPr>
          <w:rFonts w:ascii="Arial" w:hAnsi="Arial" w:cs="Arial"/>
          <w:b/>
          <w:bCs/>
        </w:rPr>
      </w:pPr>
    </w:p>
    <w:p w:rsidR="008A633A" w:rsidRPr="007248E5" w:rsidRDefault="00637910" w:rsidP="00DF1A47">
      <w:pPr>
        <w:jc w:val="both"/>
        <w:rPr>
          <w:rFonts w:ascii="Arial" w:hAnsi="Arial" w:cs="Arial"/>
          <w:b/>
          <w:bCs/>
        </w:rPr>
      </w:pPr>
      <w:r w:rsidRPr="007248E5">
        <w:rPr>
          <w:rFonts w:ascii="Arial" w:hAnsi="Arial" w:cs="Arial"/>
          <w:b/>
          <w:bCs/>
        </w:rPr>
        <w:t>16</w:t>
      </w:r>
      <w:r w:rsidR="008A633A" w:rsidRPr="007248E5">
        <w:rPr>
          <w:rFonts w:ascii="Arial" w:hAnsi="Arial" w:cs="Arial"/>
          <w:b/>
          <w:bCs/>
        </w:rPr>
        <w:t>.</w:t>
      </w:r>
      <w:r w:rsidR="008A633A" w:rsidRPr="007248E5">
        <w:rPr>
          <w:rFonts w:ascii="Arial" w:hAnsi="Arial" w:cs="Arial"/>
          <w:b/>
          <w:bCs/>
        </w:rPr>
        <w:tab/>
        <w:t>Commentary on Prospects</w:t>
      </w:r>
    </w:p>
    <w:p w:rsidR="00DF1A47" w:rsidRPr="007248E5" w:rsidRDefault="00DF1A47" w:rsidP="00DF1A47">
      <w:pPr>
        <w:jc w:val="both"/>
        <w:rPr>
          <w:rFonts w:ascii="Arial" w:hAnsi="Arial" w:cs="Arial"/>
          <w:b/>
          <w:bCs/>
        </w:rPr>
      </w:pPr>
    </w:p>
    <w:p w:rsidR="00F54EF2" w:rsidRPr="007248E5" w:rsidRDefault="008A633A">
      <w:pPr>
        <w:ind w:left="720" w:hanging="720"/>
        <w:jc w:val="both"/>
        <w:rPr>
          <w:rFonts w:ascii="Arial" w:hAnsi="Arial" w:cs="Arial"/>
        </w:rPr>
      </w:pPr>
      <w:r w:rsidRPr="007248E5">
        <w:rPr>
          <w:rFonts w:ascii="Arial" w:hAnsi="Arial" w:cs="Arial"/>
        </w:rPr>
        <w:tab/>
      </w:r>
      <w:r w:rsidR="00F54EF2" w:rsidRPr="007248E5">
        <w:rPr>
          <w:rFonts w:ascii="Arial" w:hAnsi="Arial" w:cs="Arial"/>
        </w:rPr>
        <w:t xml:space="preserve">The Group’s Business segments are expected to operate in a challenging environment in 2012.   While the Engineering Services segment may experience decline in business volume due to the </w:t>
      </w:r>
      <w:r w:rsidR="00F77E0D">
        <w:rPr>
          <w:rFonts w:ascii="Arial" w:hAnsi="Arial" w:cs="Arial"/>
        </w:rPr>
        <w:t>completion of the</w:t>
      </w:r>
      <w:r w:rsidR="00F54EF2" w:rsidRPr="007248E5">
        <w:rPr>
          <w:rFonts w:ascii="Arial" w:hAnsi="Arial" w:cs="Arial"/>
        </w:rPr>
        <w:t xml:space="preserve"> Government Concession in 2012, the expansion of Property Development segment </w:t>
      </w:r>
      <w:r w:rsidR="00F77E0D">
        <w:rPr>
          <w:rFonts w:ascii="Arial" w:hAnsi="Arial" w:cs="Arial"/>
        </w:rPr>
        <w:t xml:space="preserve">should mitigate the effect of the overall results </w:t>
      </w:r>
      <w:r w:rsidR="00F54EF2" w:rsidRPr="007248E5">
        <w:rPr>
          <w:rFonts w:ascii="Arial" w:hAnsi="Arial" w:cs="Arial"/>
        </w:rPr>
        <w:t xml:space="preserve">where the Group expects to unlock the value of its existing </w:t>
      </w:r>
      <w:proofErr w:type="spellStart"/>
      <w:r w:rsidR="00F54EF2" w:rsidRPr="007248E5">
        <w:rPr>
          <w:rFonts w:ascii="Arial" w:hAnsi="Arial" w:cs="Arial"/>
        </w:rPr>
        <w:t>landbank</w:t>
      </w:r>
      <w:proofErr w:type="spellEnd"/>
      <w:r w:rsidR="00F54EF2" w:rsidRPr="007248E5">
        <w:rPr>
          <w:rFonts w:ascii="Arial" w:hAnsi="Arial" w:cs="Arial"/>
        </w:rPr>
        <w:t>.</w:t>
      </w:r>
      <w:r w:rsidR="00F77E0D">
        <w:rPr>
          <w:rFonts w:ascii="Arial" w:hAnsi="Arial" w:cs="Arial"/>
        </w:rPr>
        <w:t xml:space="preserve">  </w:t>
      </w:r>
      <w:r w:rsidR="00F77E0D" w:rsidRPr="007248E5">
        <w:rPr>
          <w:rFonts w:ascii="Arial" w:hAnsi="Arial" w:cs="Arial"/>
        </w:rPr>
        <w:t>L</w:t>
      </w:r>
      <w:r w:rsidR="00F77E0D">
        <w:rPr>
          <w:rFonts w:ascii="Arial" w:hAnsi="Arial" w:cs="Arial"/>
        </w:rPr>
        <w:t>osses from overseas investment are</w:t>
      </w:r>
      <w:r w:rsidR="00F77E0D" w:rsidRPr="007248E5">
        <w:rPr>
          <w:rFonts w:ascii="Arial" w:hAnsi="Arial" w:cs="Arial"/>
        </w:rPr>
        <w:t xml:space="preserve"> expected to be significantly reduce</w:t>
      </w:r>
      <w:r w:rsidR="00F77E0D">
        <w:rPr>
          <w:rFonts w:ascii="Arial" w:hAnsi="Arial" w:cs="Arial"/>
        </w:rPr>
        <w:t>d</w:t>
      </w:r>
      <w:r w:rsidR="00F77E0D" w:rsidRPr="007248E5">
        <w:rPr>
          <w:rFonts w:ascii="Arial" w:hAnsi="Arial" w:cs="Arial"/>
        </w:rPr>
        <w:t xml:space="preserve"> moving forward</w:t>
      </w:r>
      <w:r w:rsidR="00F77E0D">
        <w:rPr>
          <w:rFonts w:ascii="Arial" w:hAnsi="Arial" w:cs="Arial"/>
        </w:rPr>
        <w:t xml:space="preserve"> as most impairment losses had been accounted for in 2011</w:t>
      </w:r>
      <w:r w:rsidR="00F77E0D" w:rsidRPr="007248E5">
        <w:rPr>
          <w:rFonts w:ascii="Arial" w:hAnsi="Arial" w:cs="Arial"/>
        </w:rPr>
        <w:t>.</w:t>
      </w:r>
    </w:p>
    <w:p w:rsidR="00F54EF2" w:rsidRPr="007248E5" w:rsidRDefault="00F54EF2">
      <w:pPr>
        <w:ind w:left="720" w:hanging="720"/>
        <w:jc w:val="both"/>
        <w:rPr>
          <w:rFonts w:ascii="Arial" w:hAnsi="Arial" w:cs="Arial"/>
        </w:rPr>
      </w:pPr>
    </w:p>
    <w:p w:rsidR="008A633A" w:rsidRPr="007248E5" w:rsidRDefault="00934F78" w:rsidP="00F54EF2">
      <w:pPr>
        <w:ind w:left="720"/>
        <w:jc w:val="both"/>
        <w:rPr>
          <w:rFonts w:ascii="Arial" w:hAnsi="Arial" w:cs="Arial"/>
        </w:rPr>
      </w:pPr>
      <w:r>
        <w:rPr>
          <w:rFonts w:ascii="Arial" w:hAnsi="Arial" w:cs="Arial"/>
        </w:rPr>
        <w:t>T</w:t>
      </w:r>
      <w:r w:rsidR="007D2DBA" w:rsidRPr="007D2DBA">
        <w:rPr>
          <w:rFonts w:ascii="Arial" w:hAnsi="Arial" w:cs="Arial"/>
        </w:rPr>
        <w:t>he Board of Directors is</w:t>
      </w:r>
      <w:r>
        <w:rPr>
          <w:rFonts w:ascii="Arial" w:hAnsi="Arial" w:cs="Arial"/>
        </w:rPr>
        <w:t xml:space="preserve"> reasonably</w:t>
      </w:r>
      <w:r w:rsidR="007D2DBA" w:rsidRPr="007D2DBA">
        <w:rPr>
          <w:rFonts w:ascii="Arial" w:hAnsi="Arial" w:cs="Arial"/>
        </w:rPr>
        <w:t xml:space="preserve"> optimistic that the Group would at least maintain its performance in the next financial year and hopefully improve towards the second half of 2012.</w:t>
      </w:r>
      <w:r w:rsidR="007D2DBA">
        <w:rPr>
          <w:rFonts w:ascii="Arial" w:hAnsi="Arial" w:cs="Arial"/>
        </w:rPr>
        <w:t xml:space="preserve"> </w:t>
      </w:r>
      <w:r w:rsidR="00DA1B27" w:rsidRPr="007248E5">
        <w:rPr>
          <w:rFonts w:ascii="Arial" w:hAnsi="Arial" w:cs="Arial"/>
        </w:rPr>
        <w:t xml:space="preserve"> </w:t>
      </w:r>
    </w:p>
    <w:p w:rsidR="00B01A6D" w:rsidRPr="007D2DBA" w:rsidRDefault="00B01A6D">
      <w:pPr>
        <w:jc w:val="both"/>
        <w:rPr>
          <w:rFonts w:ascii="Arial" w:hAnsi="Arial" w:cs="Arial"/>
        </w:rPr>
      </w:pPr>
    </w:p>
    <w:p w:rsidR="001E5406" w:rsidRPr="007248E5" w:rsidRDefault="001E5406">
      <w:pPr>
        <w:jc w:val="both"/>
        <w:rPr>
          <w:rFonts w:ascii="Arial" w:hAnsi="Arial" w:cs="Arial"/>
          <w:b/>
          <w:bCs/>
        </w:rPr>
      </w:pPr>
    </w:p>
    <w:p w:rsidR="00F54EF2" w:rsidRPr="007248E5" w:rsidRDefault="00F54EF2">
      <w:pPr>
        <w:jc w:val="both"/>
        <w:rPr>
          <w:rFonts w:ascii="Arial" w:hAnsi="Arial" w:cs="Arial"/>
          <w:b/>
          <w:bCs/>
        </w:rPr>
      </w:pPr>
    </w:p>
    <w:p w:rsidR="008A633A" w:rsidRPr="007248E5" w:rsidRDefault="00637910">
      <w:pPr>
        <w:jc w:val="both"/>
        <w:rPr>
          <w:rFonts w:ascii="Arial" w:hAnsi="Arial" w:cs="Arial"/>
          <w:b/>
          <w:bCs/>
        </w:rPr>
      </w:pPr>
      <w:r w:rsidRPr="007248E5">
        <w:rPr>
          <w:rFonts w:ascii="Arial" w:hAnsi="Arial" w:cs="Arial"/>
          <w:b/>
          <w:bCs/>
        </w:rPr>
        <w:t>17</w:t>
      </w:r>
      <w:r w:rsidR="008A633A" w:rsidRPr="007248E5">
        <w:rPr>
          <w:rFonts w:ascii="Arial" w:hAnsi="Arial" w:cs="Arial"/>
          <w:b/>
          <w:bCs/>
        </w:rPr>
        <w:t>.</w:t>
      </w:r>
      <w:r w:rsidR="008A633A" w:rsidRPr="007248E5">
        <w:rPr>
          <w:rFonts w:ascii="Arial" w:hAnsi="Arial" w:cs="Arial"/>
          <w:b/>
          <w:bCs/>
        </w:rPr>
        <w:tab/>
        <w:t>Profit Forecast or Profit Guarantee</w:t>
      </w:r>
    </w:p>
    <w:p w:rsidR="008A633A" w:rsidRPr="007248E5" w:rsidRDefault="008A633A">
      <w:pPr>
        <w:jc w:val="both"/>
        <w:rPr>
          <w:rFonts w:ascii="Arial" w:hAnsi="Arial" w:cs="Arial"/>
          <w:b/>
          <w:bCs/>
        </w:rPr>
      </w:pPr>
    </w:p>
    <w:p w:rsidR="008A633A" w:rsidRPr="007248E5" w:rsidRDefault="008A633A">
      <w:pPr>
        <w:jc w:val="both"/>
        <w:rPr>
          <w:rFonts w:ascii="Arial" w:hAnsi="Arial" w:cs="Arial"/>
        </w:rPr>
      </w:pPr>
      <w:r w:rsidRPr="007248E5">
        <w:rPr>
          <w:rFonts w:ascii="Arial" w:hAnsi="Arial" w:cs="Arial"/>
          <w:b/>
          <w:bCs/>
        </w:rPr>
        <w:tab/>
      </w:r>
      <w:r w:rsidRPr="007248E5">
        <w:rPr>
          <w:rFonts w:ascii="Arial" w:hAnsi="Arial" w:cs="Arial"/>
        </w:rPr>
        <w:t>Not applicable.</w:t>
      </w:r>
    </w:p>
    <w:p w:rsidR="008A633A" w:rsidRPr="007248E5" w:rsidRDefault="008A633A" w:rsidP="00745704">
      <w:pPr>
        <w:jc w:val="both"/>
        <w:rPr>
          <w:rFonts w:ascii="Arial" w:hAnsi="Arial" w:cs="Arial"/>
        </w:rPr>
      </w:pPr>
    </w:p>
    <w:p w:rsidR="008A633A" w:rsidRPr="007248E5" w:rsidRDefault="008A633A">
      <w:pPr>
        <w:ind w:left="720"/>
        <w:jc w:val="both"/>
        <w:rPr>
          <w:rFonts w:ascii="Arial" w:hAnsi="Arial" w:cs="Arial"/>
        </w:rPr>
      </w:pPr>
    </w:p>
    <w:p w:rsidR="001E5406" w:rsidRPr="007248E5" w:rsidRDefault="001E5406">
      <w:pPr>
        <w:ind w:left="720"/>
        <w:jc w:val="both"/>
        <w:rPr>
          <w:rFonts w:ascii="Arial" w:hAnsi="Arial" w:cs="Arial"/>
        </w:rPr>
      </w:pPr>
    </w:p>
    <w:p w:rsidR="008A633A" w:rsidRPr="007248E5" w:rsidRDefault="008A633A">
      <w:pPr>
        <w:jc w:val="both"/>
        <w:rPr>
          <w:rFonts w:ascii="Arial" w:hAnsi="Arial" w:cs="Arial"/>
          <w:b/>
          <w:bCs/>
        </w:rPr>
      </w:pPr>
      <w:r w:rsidRPr="007248E5">
        <w:rPr>
          <w:rFonts w:ascii="Arial" w:hAnsi="Arial" w:cs="Arial"/>
          <w:b/>
          <w:bCs/>
        </w:rPr>
        <w:t>1</w:t>
      </w:r>
      <w:r w:rsidR="00637910" w:rsidRPr="007248E5">
        <w:rPr>
          <w:rFonts w:ascii="Arial" w:hAnsi="Arial" w:cs="Arial"/>
          <w:b/>
          <w:bCs/>
        </w:rPr>
        <w:t>8</w:t>
      </w:r>
      <w:r w:rsidRPr="007248E5">
        <w:rPr>
          <w:rFonts w:ascii="Arial" w:hAnsi="Arial" w:cs="Arial"/>
          <w:b/>
          <w:bCs/>
        </w:rPr>
        <w:t>.</w:t>
      </w:r>
      <w:r w:rsidRPr="007248E5">
        <w:rPr>
          <w:rFonts w:ascii="Arial" w:hAnsi="Arial" w:cs="Arial"/>
          <w:b/>
          <w:bCs/>
        </w:rPr>
        <w:tab/>
        <w:t>Taxation</w:t>
      </w:r>
    </w:p>
    <w:tbl>
      <w:tblPr>
        <w:tblW w:w="7100" w:type="dxa"/>
        <w:tblInd w:w="918" w:type="dxa"/>
        <w:tblLayout w:type="fixed"/>
        <w:tblLook w:val="0000"/>
      </w:tblPr>
      <w:tblGrid>
        <w:gridCol w:w="4044"/>
        <w:gridCol w:w="1528"/>
        <w:gridCol w:w="1528"/>
      </w:tblGrid>
      <w:tr w:rsidR="003E49AA" w:rsidRPr="007248E5" w:rsidTr="00C04286">
        <w:trPr>
          <w:trHeight w:val="735"/>
        </w:trPr>
        <w:tc>
          <w:tcPr>
            <w:tcW w:w="4044" w:type="dxa"/>
          </w:tcPr>
          <w:p w:rsidR="003E49AA" w:rsidRPr="007248E5" w:rsidRDefault="003E49AA">
            <w:pPr>
              <w:jc w:val="both"/>
              <w:rPr>
                <w:rFonts w:ascii="Arial" w:hAnsi="Arial" w:cs="Arial"/>
              </w:rPr>
            </w:pPr>
          </w:p>
        </w:tc>
        <w:tc>
          <w:tcPr>
            <w:tcW w:w="1528" w:type="dxa"/>
          </w:tcPr>
          <w:p w:rsidR="003E49AA" w:rsidRPr="007248E5" w:rsidRDefault="00E3079B" w:rsidP="00DA1B27">
            <w:pPr>
              <w:jc w:val="right"/>
              <w:rPr>
                <w:rFonts w:ascii="Arial" w:hAnsi="Arial" w:cs="Arial"/>
                <w:u w:val="single"/>
              </w:rPr>
            </w:pPr>
            <w:r w:rsidRPr="007248E5">
              <w:rPr>
                <w:rFonts w:ascii="Arial" w:hAnsi="Arial" w:cs="Arial"/>
                <w:u w:val="single"/>
              </w:rPr>
              <w:t>3</w:t>
            </w:r>
            <w:r w:rsidR="003E49AA" w:rsidRPr="007248E5">
              <w:rPr>
                <w:rFonts w:ascii="Arial" w:hAnsi="Arial" w:cs="Arial"/>
                <w:u w:val="single"/>
              </w:rPr>
              <w:t xml:space="preserve"> months</w:t>
            </w:r>
          </w:p>
          <w:p w:rsidR="003E49AA" w:rsidRPr="007248E5" w:rsidRDefault="003E49AA" w:rsidP="00DA1B27">
            <w:pPr>
              <w:jc w:val="right"/>
              <w:rPr>
                <w:rFonts w:ascii="Arial" w:hAnsi="Arial" w:cs="Arial"/>
                <w:u w:val="single"/>
              </w:rPr>
            </w:pPr>
            <w:r w:rsidRPr="007248E5">
              <w:rPr>
                <w:rFonts w:ascii="Arial" w:hAnsi="Arial" w:cs="Arial"/>
                <w:u w:val="single"/>
              </w:rPr>
              <w:t>ended</w:t>
            </w:r>
          </w:p>
          <w:p w:rsidR="003E49AA" w:rsidRPr="007248E5" w:rsidRDefault="003E49AA" w:rsidP="009E5315">
            <w:pPr>
              <w:jc w:val="right"/>
              <w:rPr>
                <w:rFonts w:ascii="Arial" w:hAnsi="Arial" w:cs="Arial"/>
              </w:rPr>
            </w:pPr>
            <w:r w:rsidRPr="007248E5">
              <w:rPr>
                <w:rFonts w:ascii="Arial" w:hAnsi="Arial" w:cs="Arial"/>
              </w:rPr>
              <w:t>3</w:t>
            </w:r>
            <w:r w:rsidR="009E5315" w:rsidRPr="007248E5">
              <w:rPr>
                <w:rFonts w:ascii="Arial" w:hAnsi="Arial" w:cs="Arial"/>
              </w:rPr>
              <w:t>1</w:t>
            </w:r>
            <w:r w:rsidRPr="007248E5">
              <w:rPr>
                <w:rFonts w:ascii="Arial" w:hAnsi="Arial" w:cs="Arial"/>
              </w:rPr>
              <w:t>.</w:t>
            </w:r>
            <w:r w:rsidR="009E5315" w:rsidRPr="007248E5">
              <w:rPr>
                <w:rFonts w:ascii="Arial" w:hAnsi="Arial" w:cs="Arial"/>
              </w:rPr>
              <w:t>12</w:t>
            </w:r>
            <w:r w:rsidRPr="007248E5">
              <w:rPr>
                <w:rFonts w:ascii="Arial" w:hAnsi="Arial" w:cs="Arial"/>
              </w:rPr>
              <w:t>.20</w:t>
            </w:r>
            <w:r w:rsidR="0032742F" w:rsidRPr="007248E5">
              <w:rPr>
                <w:rFonts w:ascii="Arial" w:hAnsi="Arial" w:cs="Arial"/>
              </w:rPr>
              <w:t>1</w:t>
            </w:r>
            <w:r w:rsidR="0063787B" w:rsidRPr="007248E5">
              <w:rPr>
                <w:rFonts w:ascii="Arial" w:hAnsi="Arial" w:cs="Arial"/>
              </w:rPr>
              <w:t>1</w:t>
            </w:r>
          </w:p>
        </w:tc>
        <w:tc>
          <w:tcPr>
            <w:tcW w:w="1528" w:type="dxa"/>
          </w:tcPr>
          <w:p w:rsidR="00E40A98" w:rsidRPr="007248E5" w:rsidRDefault="009E5315" w:rsidP="00DA1B27">
            <w:pPr>
              <w:jc w:val="right"/>
              <w:rPr>
                <w:rFonts w:ascii="Arial" w:hAnsi="Arial" w:cs="Arial"/>
                <w:u w:val="single"/>
              </w:rPr>
            </w:pPr>
            <w:r w:rsidRPr="007248E5">
              <w:rPr>
                <w:rFonts w:ascii="Arial" w:hAnsi="Arial" w:cs="Arial"/>
                <w:u w:val="single"/>
              </w:rPr>
              <w:t>12</w:t>
            </w:r>
            <w:r w:rsidR="00E40A98" w:rsidRPr="007248E5">
              <w:rPr>
                <w:rFonts w:ascii="Arial" w:hAnsi="Arial" w:cs="Arial"/>
                <w:u w:val="single"/>
              </w:rPr>
              <w:t xml:space="preserve"> months </w:t>
            </w:r>
          </w:p>
          <w:p w:rsidR="003E49AA" w:rsidRPr="007248E5" w:rsidRDefault="00E40A98" w:rsidP="009E5315">
            <w:pPr>
              <w:jc w:val="right"/>
              <w:rPr>
                <w:rFonts w:ascii="Arial" w:hAnsi="Arial" w:cs="Arial"/>
              </w:rPr>
            </w:pPr>
            <w:r w:rsidRPr="007248E5">
              <w:rPr>
                <w:rFonts w:ascii="Arial" w:hAnsi="Arial" w:cs="Arial"/>
                <w:u w:val="single"/>
              </w:rPr>
              <w:t>ended</w:t>
            </w:r>
            <w:r w:rsidRPr="007248E5">
              <w:rPr>
                <w:rFonts w:ascii="Arial" w:hAnsi="Arial" w:cs="Arial"/>
              </w:rPr>
              <w:t xml:space="preserve"> 3</w:t>
            </w:r>
            <w:r w:rsidR="009E5315" w:rsidRPr="007248E5">
              <w:rPr>
                <w:rFonts w:ascii="Arial" w:hAnsi="Arial" w:cs="Arial"/>
              </w:rPr>
              <w:t>1</w:t>
            </w:r>
            <w:r w:rsidRPr="007248E5">
              <w:rPr>
                <w:rFonts w:ascii="Arial" w:hAnsi="Arial" w:cs="Arial"/>
              </w:rPr>
              <w:t>.</w:t>
            </w:r>
            <w:r w:rsidR="009E5315" w:rsidRPr="007248E5">
              <w:rPr>
                <w:rFonts w:ascii="Arial" w:hAnsi="Arial" w:cs="Arial"/>
              </w:rPr>
              <w:t>12</w:t>
            </w:r>
            <w:r w:rsidRPr="007248E5">
              <w:rPr>
                <w:rFonts w:ascii="Arial" w:hAnsi="Arial" w:cs="Arial"/>
              </w:rPr>
              <w:t>.2011</w:t>
            </w:r>
          </w:p>
        </w:tc>
      </w:tr>
      <w:tr w:rsidR="003E49AA" w:rsidRPr="007248E5" w:rsidTr="00C04286">
        <w:trPr>
          <w:trHeight w:val="244"/>
        </w:trPr>
        <w:tc>
          <w:tcPr>
            <w:tcW w:w="4044" w:type="dxa"/>
          </w:tcPr>
          <w:p w:rsidR="003E49AA" w:rsidRPr="007248E5" w:rsidRDefault="003E49AA">
            <w:pPr>
              <w:jc w:val="both"/>
              <w:rPr>
                <w:rFonts w:ascii="Arial" w:hAnsi="Arial" w:cs="Arial"/>
              </w:rPr>
            </w:pPr>
          </w:p>
        </w:tc>
        <w:tc>
          <w:tcPr>
            <w:tcW w:w="1528" w:type="dxa"/>
          </w:tcPr>
          <w:p w:rsidR="003E49AA" w:rsidRPr="007248E5" w:rsidRDefault="00DA1B27" w:rsidP="00DA1B27">
            <w:pPr>
              <w:jc w:val="right"/>
              <w:rPr>
                <w:rFonts w:ascii="Arial" w:hAnsi="Arial" w:cs="Arial"/>
                <w:u w:val="single"/>
              </w:rPr>
            </w:pPr>
            <w:r w:rsidRPr="007248E5">
              <w:rPr>
                <w:rFonts w:ascii="Arial" w:hAnsi="Arial" w:cs="Arial"/>
                <w:u w:val="single"/>
              </w:rPr>
              <w:t>RM’000</w:t>
            </w:r>
          </w:p>
        </w:tc>
        <w:tc>
          <w:tcPr>
            <w:tcW w:w="1528" w:type="dxa"/>
          </w:tcPr>
          <w:p w:rsidR="003E49AA" w:rsidRPr="007248E5" w:rsidRDefault="00DA1B27" w:rsidP="00DA1B27">
            <w:pPr>
              <w:jc w:val="right"/>
              <w:rPr>
                <w:rFonts w:ascii="Arial" w:hAnsi="Arial" w:cs="Arial"/>
                <w:u w:val="single"/>
              </w:rPr>
            </w:pPr>
            <w:r w:rsidRPr="007248E5">
              <w:rPr>
                <w:rFonts w:ascii="Arial" w:hAnsi="Arial" w:cs="Arial"/>
                <w:u w:val="single"/>
              </w:rPr>
              <w:t>RM’000</w:t>
            </w:r>
          </w:p>
        </w:tc>
      </w:tr>
      <w:tr w:rsidR="003E49AA" w:rsidRPr="007248E5" w:rsidTr="00C04286">
        <w:trPr>
          <w:trHeight w:val="450"/>
        </w:trPr>
        <w:tc>
          <w:tcPr>
            <w:tcW w:w="4044" w:type="dxa"/>
          </w:tcPr>
          <w:p w:rsidR="003E49AA" w:rsidRPr="007248E5" w:rsidRDefault="003E49AA" w:rsidP="0094395B">
            <w:pPr>
              <w:rPr>
                <w:rFonts w:ascii="Arial" w:hAnsi="Arial" w:cs="Arial"/>
              </w:rPr>
            </w:pPr>
            <w:r w:rsidRPr="007248E5">
              <w:rPr>
                <w:rFonts w:ascii="Arial" w:hAnsi="Arial" w:cs="Arial"/>
              </w:rPr>
              <w:t>Current provision</w:t>
            </w:r>
          </w:p>
        </w:tc>
        <w:tc>
          <w:tcPr>
            <w:tcW w:w="1528" w:type="dxa"/>
          </w:tcPr>
          <w:p w:rsidR="003E49AA" w:rsidRPr="007248E5" w:rsidRDefault="005F7ACD" w:rsidP="001E5406">
            <w:pPr>
              <w:jc w:val="right"/>
              <w:rPr>
                <w:rFonts w:ascii="Arial" w:hAnsi="Arial" w:cs="Arial"/>
              </w:rPr>
            </w:pPr>
            <w:r w:rsidRPr="007248E5">
              <w:rPr>
                <w:rFonts w:ascii="Arial" w:hAnsi="Arial" w:cs="Arial"/>
              </w:rPr>
              <w:t>6,886</w:t>
            </w:r>
          </w:p>
        </w:tc>
        <w:tc>
          <w:tcPr>
            <w:tcW w:w="1528" w:type="dxa"/>
          </w:tcPr>
          <w:p w:rsidR="003E49AA" w:rsidRPr="007248E5" w:rsidRDefault="005F7ACD" w:rsidP="00802DE9">
            <w:pPr>
              <w:jc w:val="right"/>
              <w:rPr>
                <w:rFonts w:ascii="Arial" w:hAnsi="Arial" w:cs="Arial"/>
              </w:rPr>
            </w:pPr>
            <w:r w:rsidRPr="007248E5">
              <w:rPr>
                <w:rFonts w:ascii="Arial" w:hAnsi="Arial" w:cs="Arial"/>
              </w:rPr>
              <w:t>24,663</w:t>
            </w:r>
          </w:p>
        </w:tc>
      </w:tr>
      <w:tr w:rsidR="00D31164" w:rsidRPr="007248E5" w:rsidTr="009D3AD2">
        <w:trPr>
          <w:trHeight w:val="297"/>
        </w:trPr>
        <w:tc>
          <w:tcPr>
            <w:tcW w:w="4044" w:type="dxa"/>
          </w:tcPr>
          <w:p w:rsidR="00D31164" w:rsidRPr="007248E5" w:rsidRDefault="00D31164">
            <w:pPr>
              <w:rPr>
                <w:rFonts w:ascii="Arial" w:hAnsi="Arial" w:cs="Arial"/>
              </w:rPr>
            </w:pPr>
            <w:r w:rsidRPr="007248E5">
              <w:rPr>
                <w:rFonts w:ascii="Arial" w:hAnsi="Arial" w:cs="Arial"/>
              </w:rPr>
              <w:t>Deferred taxation</w:t>
            </w:r>
          </w:p>
        </w:tc>
        <w:tc>
          <w:tcPr>
            <w:tcW w:w="1528" w:type="dxa"/>
            <w:tcBorders>
              <w:bottom w:val="single" w:sz="4" w:space="0" w:color="auto"/>
            </w:tcBorders>
          </w:tcPr>
          <w:p w:rsidR="00D31164" w:rsidRPr="007248E5" w:rsidRDefault="00982C8C" w:rsidP="00DA1B27">
            <w:pPr>
              <w:jc w:val="right"/>
              <w:rPr>
                <w:rFonts w:ascii="Arial" w:hAnsi="Arial" w:cs="Arial"/>
              </w:rPr>
            </w:pPr>
            <w:r w:rsidRPr="007248E5">
              <w:rPr>
                <w:rFonts w:ascii="Arial" w:hAnsi="Arial" w:cs="Arial"/>
              </w:rPr>
              <w:t>-</w:t>
            </w:r>
          </w:p>
        </w:tc>
        <w:tc>
          <w:tcPr>
            <w:tcW w:w="1528" w:type="dxa"/>
            <w:tcBorders>
              <w:bottom w:val="single" w:sz="4" w:space="0" w:color="auto"/>
            </w:tcBorders>
          </w:tcPr>
          <w:p w:rsidR="00D31164" w:rsidRPr="007248E5" w:rsidRDefault="00DA1B27" w:rsidP="00DA1B27">
            <w:pPr>
              <w:jc w:val="right"/>
              <w:rPr>
                <w:rFonts w:ascii="Arial" w:hAnsi="Arial" w:cs="Arial"/>
              </w:rPr>
            </w:pPr>
            <w:r w:rsidRPr="007248E5">
              <w:rPr>
                <w:rFonts w:ascii="Arial" w:hAnsi="Arial" w:cs="Arial"/>
              </w:rPr>
              <w:t>-</w:t>
            </w:r>
          </w:p>
        </w:tc>
      </w:tr>
      <w:tr w:rsidR="00FE06EC" w:rsidRPr="007248E5" w:rsidTr="009D3AD2">
        <w:trPr>
          <w:trHeight w:val="374"/>
        </w:trPr>
        <w:tc>
          <w:tcPr>
            <w:tcW w:w="4044" w:type="dxa"/>
            <w:vAlign w:val="bottom"/>
          </w:tcPr>
          <w:p w:rsidR="00FE06EC" w:rsidRPr="007248E5" w:rsidRDefault="00E40A98" w:rsidP="009D3AD2">
            <w:pPr>
              <w:rPr>
                <w:rFonts w:ascii="Arial" w:hAnsi="Arial" w:cs="Arial"/>
              </w:rPr>
            </w:pPr>
            <w:r w:rsidRPr="007248E5">
              <w:rPr>
                <w:rFonts w:ascii="Arial" w:hAnsi="Arial" w:cs="Arial"/>
              </w:rPr>
              <w:t>Total</w:t>
            </w:r>
          </w:p>
        </w:tc>
        <w:tc>
          <w:tcPr>
            <w:tcW w:w="1528" w:type="dxa"/>
            <w:tcBorders>
              <w:top w:val="single" w:sz="4" w:space="0" w:color="auto"/>
              <w:bottom w:val="double" w:sz="4" w:space="0" w:color="auto"/>
            </w:tcBorders>
            <w:vAlign w:val="bottom"/>
          </w:tcPr>
          <w:p w:rsidR="00FE06EC" w:rsidRPr="007248E5" w:rsidRDefault="005F7ACD" w:rsidP="009D3AD2">
            <w:pPr>
              <w:jc w:val="right"/>
              <w:rPr>
                <w:rFonts w:ascii="Arial" w:hAnsi="Arial" w:cs="Arial"/>
                <w:b/>
              </w:rPr>
            </w:pPr>
            <w:r w:rsidRPr="007248E5">
              <w:rPr>
                <w:rFonts w:ascii="Arial" w:hAnsi="Arial" w:cs="Arial"/>
                <w:b/>
              </w:rPr>
              <w:t>6,886</w:t>
            </w:r>
          </w:p>
        </w:tc>
        <w:tc>
          <w:tcPr>
            <w:tcW w:w="1528" w:type="dxa"/>
            <w:tcBorders>
              <w:top w:val="single" w:sz="4" w:space="0" w:color="auto"/>
              <w:bottom w:val="double" w:sz="4" w:space="0" w:color="auto"/>
            </w:tcBorders>
            <w:vAlign w:val="bottom"/>
          </w:tcPr>
          <w:p w:rsidR="00FE06EC" w:rsidRPr="007248E5" w:rsidRDefault="005F7ACD" w:rsidP="009D3AD2">
            <w:pPr>
              <w:jc w:val="right"/>
              <w:rPr>
                <w:rFonts w:ascii="Arial" w:hAnsi="Arial" w:cs="Arial"/>
                <w:b/>
              </w:rPr>
            </w:pPr>
            <w:r w:rsidRPr="007248E5">
              <w:rPr>
                <w:rFonts w:ascii="Arial" w:hAnsi="Arial" w:cs="Arial"/>
                <w:b/>
              </w:rPr>
              <w:t>24,663</w:t>
            </w:r>
          </w:p>
        </w:tc>
      </w:tr>
    </w:tbl>
    <w:p w:rsidR="008A633A" w:rsidRPr="007248E5" w:rsidRDefault="008A633A" w:rsidP="0094395B">
      <w:pPr>
        <w:jc w:val="right"/>
        <w:rPr>
          <w:rFonts w:ascii="Arial" w:hAnsi="Arial" w:cs="Arial"/>
          <w:b/>
          <w:bCs/>
        </w:rPr>
      </w:pPr>
    </w:p>
    <w:p w:rsidR="00BD4507" w:rsidRPr="007248E5" w:rsidRDefault="00BD4507" w:rsidP="009A4809">
      <w:pPr>
        <w:pStyle w:val="BodyText"/>
        <w:ind w:left="720"/>
        <w:rPr>
          <w:rFonts w:cs="Arial"/>
          <w:sz w:val="20"/>
        </w:rPr>
      </w:pPr>
    </w:p>
    <w:p w:rsidR="008A633A" w:rsidRPr="007248E5" w:rsidRDefault="0094471F" w:rsidP="009A4809">
      <w:pPr>
        <w:pStyle w:val="BodyText"/>
        <w:ind w:left="720"/>
        <w:rPr>
          <w:rFonts w:cs="Arial"/>
          <w:sz w:val="20"/>
        </w:rPr>
      </w:pPr>
      <w:r w:rsidRPr="007248E5">
        <w:rPr>
          <w:rFonts w:cs="Arial"/>
          <w:sz w:val="20"/>
        </w:rPr>
        <w:t>The effective t</w:t>
      </w:r>
      <w:r w:rsidR="00DD49DF" w:rsidRPr="007248E5">
        <w:rPr>
          <w:rFonts w:cs="Arial"/>
          <w:sz w:val="20"/>
        </w:rPr>
        <w:t xml:space="preserve">ax rates for the </w:t>
      </w:r>
      <w:r w:rsidR="00F5589F" w:rsidRPr="007248E5">
        <w:rPr>
          <w:rFonts w:cs="Arial"/>
          <w:sz w:val="20"/>
        </w:rPr>
        <w:t xml:space="preserve">current </w:t>
      </w:r>
      <w:r w:rsidR="008C352C" w:rsidRPr="007248E5">
        <w:rPr>
          <w:rFonts w:cs="Arial"/>
          <w:sz w:val="20"/>
        </w:rPr>
        <w:t xml:space="preserve">year </w:t>
      </w:r>
      <w:r w:rsidR="00DD49DF" w:rsidRPr="007248E5">
        <w:rPr>
          <w:rFonts w:cs="Arial"/>
          <w:sz w:val="20"/>
        </w:rPr>
        <w:t>were</w:t>
      </w:r>
      <w:r w:rsidRPr="007248E5">
        <w:rPr>
          <w:rFonts w:cs="Arial"/>
          <w:sz w:val="20"/>
        </w:rPr>
        <w:t xml:space="preserve"> </w:t>
      </w:r>
      <w:r w:rsidR="009A4809" w:rsidRPr="007248E5">
        <w:rPr>
          <w:rFonts w:cs="Arial"/>
          <w:sz w:val="20"/>
        </w:rPr>
        <w:t xml:space="preserve">higher than the statutory tax rate principally due to losses of certain subsidiary companies </w:t>
      </w:r>
      <w:r w:rsidR="008C352C" w:rsidRPr="007248E5">
        <w:rPr>
          <w:rFonts w:cs="Arial"/>
          <w:sz w:val="20"/>
        </w:rPr>
        <w:t xml:space="preserve">and overseas investments </w:t>
      </w:r>
      <w:r w:rsidR="009A4809" w:rsidRPr="007248E5">
        <w:rPr>
          <w:rFonts w:cs="Arial"/>
          <w:sz w:val="20"/>
        </w:rPr>
        <w:t>that cannot be offset against taxable profits made by the other subsidiaries and due to non-all</w:t>
      </w:r>
      <w:r w:rsidR="00497001" w:rsidRPr="007248E5">
        <w:rPr>
          <w:rFonts w:cs="Arial"/>
          <w:sz w:val="20"/>
        </w:rPr>
        <w:t>owable expenses incurred.</w:t>
      </w:r>
    </w:p>
    <w:p w:rsidR="008A633A" w:rsidRPr="007248E5" w:rsidRDefault="00002BF3" w:rsidP="00002BF3">
      <w:pPr>
        <w:pStyle w:val="BodyText"/>
        <w:ind w:left="720"/>
        <w:rPr>
          <w:rFonts w:cs="Arial"/>
          <w:b/>
          <w:bCs/>
          <w:sz w:val="20"/>
        </w:rPr>
      </w:pPr>
      <w:r>
        <w:rPr>
          <w:rFonts w:cs="Arial"/>
          <w:b/>
          <w:bCs/>
          <w:sz w:val="20"/>
        </w:rPr>
        <w:br w:type="page"/>
      </w:r>
    </w:p>
    <w:p w:rsidR="008A633A" w:rsidRPr="007248E5" w:rsidRDefault="00637910">
      <w:pPr>
        <w:jc w:val="both"/>
        <w:rPr>
          <w:rFonts w:ascii="Arial" w:hAnsi="Arial" w:cs="Arial"/>
          <w:b/>
          <w:bCs/>
        </w:rPr>
      </w:pPr>
      <w:r w:rsidRPr="007248E5">
        <w:rPr>
          <w:rFonts w:ascii="Arial" w:hAnsi="Arial" w:cs="Arial"/>
          <w:b/>
          <w:bCs/>
        </w:rPr>
        <w:lastRenderedPageBreak/>
        <w:t>19</w:t>
      </w:r>
      <w:r w:rsidR="008A633A" w:rsidRPr="007248E5">
        <w:rPr>
          <w:rFonts w:ascii="Arial" w:hAnsi="Arial" w:cs="Arial"/>
          <w:b/>
          <w:bCs/>
        </w:rPr>
        <w:t>.</w:t>
      </w:r>
      <w:r w:rsidR="008A633A" w:rsidRPr="007248E5">
        <w:rPr>
          <w:rFonts w:ascii="Arial" w:hAnsi="Arial" w:cs="Arial"/>
          <w:b/>
          <w:bCs/>
        </w:rPr>
        <w:tab/>
        <w:t>Sale of Unquoted Investments and Properties</w:t>
      </w:r>
    </w:p>
    <w:p w:rsidR="008A633A" w:rsidRPr="007248E5" w:rsidRDefault="008A633A">
      <w:pPr>
        <w:jc w:val="both"/>
        <w:rPr>
          <w:rFonts w:ascii="Arial" w:hAnsi="Arial" w:cs="Arial"/>
          <w:b/>
          <w:bCs/>
        </w:rPr>
      </w:pPr>
      <w:r w:rsidRPr="007248E5">
        <w:rPr>
          <w:rFonts w:ascii="Arial" w:hAnsi="Arial" w:cs="Arial"/>
          <w:b/>
          <w:bCs/>
        </w:rPr>
        <w:tab/>
      </w:r>
    </w:p>
    <w:p w:rsidR="008A633A" w:rsidRPr="007248E5" w:rsidRDefault="008A633A">
      <w:pPr>
        <w:jc w:val="both"/>
        <w:rPr>
          <w:rFonts w:ascii="Arial" w:hAnsi="Arial" w:cs="Arial"/>
        </w:rPr>
      </w:pPr>
      <w:r w:rsidRPr="007248E5">
        <w:rPr>
          <w:rFonts w:ascii="Arial" w:hAnsi="Arial" w:cs="Arial"/>
          <w:b/>
          <w:bCs/>
        </w:rPr>
        <w:tab/>
      </w:r>
      <w:r w:rsidR="00E40A98" w:rsidRPr="007248E5">
        <w:rPr>
          <w:rFonts w:ascii="Arial" w:hAnsi="Arial" w:cs="Arial"/>
          <w:bCs/>
        </w:rPr>
        <w:t>T</w:t>
      </w:r>
      <w:r w:rsidR="00F5589F" w:rsidRPr="007248E5">
        <w:rPr>
          <w:rFonts w:ascii="Arial" w:hAnsi="Arial" w:cs="Arial"/>
        </w:rPr>
        <w:t>here were</w:t>
      </w:r>
      <w:r w:rsidRPr="007248E5">
        <w:rPr>
          <w:rFonts w:ascii="Arial" w:hAnsi="Arial" w:cs="Arial"/>
        </w:rPr>
        <w:t xml:space="preserve"> no sale of unquoted securities and</w:t>
      </w:r>
      <w:r w:rsidR="0023773C" w:rsidRPr="007248E5">
        <w:rPr>
          <w:rFonts w:ascii="Arial" w:hAnsi="Arial" w:cs="Arial"/>
        </w:rPr>
        <w:t xml:space="preserve"> properties during the </w:t>
      </w:r>
      <w:r w:rsidR="00E40A98" w:rsidRPr="007248E5">
        <w:rPr>
          <w:rFonts w:ascii="Arial" w:hAnsi="Arial" w:cs="Arial"/>
        </w:rPr>
        <w:t>c</w:t>
      </w:r>
      <w:r w:rsidR="0023773C" w:rsidRPr="007248E5">
        <w:rPr>
          <w:rFonts w:ascii="Arial" w:hAnsi="Arial" w:cs="Arial"/>
        </w:rPr>
        <w:t xml:space="preserve">urrent </w:t>
      </w:r>
      <w:r w:rsidRPr="007248E5">
        <w:rPr>
          <w:rFonts w:ascii="Arial" w:hAnsi="Arial" w:cs="Arial"/>
        </w:rPr>
        <w:t>quarter.</w:t>
      </w:r>
    </w:p>
    <w:p w:rsidR="008A633A" w:rsidRDefault="008A633A">
      <w:pPr>
        <w:jc w:val="both"/>
        <w:rPr>
          <w:rFonts w:ascii="Arial" w:hAnsi="Arial" w:cs="Arial"/>
          <w:b/>
          <w:bCs/>
        </w:rPr>
      </w:pPr>
    </w:p>
    <w:p w:rsidR="00037FB6" w:rsidRPr="007248E5" w:rsidRDefault="00037FB6">
      <w:pPr>
        <w:jc w:val="both"/>
        <w:rPr>
          <w:rFonts w:ascii="Arial" w:hAnsi="Arial" w:cs="Arial"/>
          <w:b/>
          <w:bCs/>
        </w:rPr>
      </w:pPr>
    </w:p>
    <w:p w:rsidR="008A633A" w:rsidRPr="007248E5" w:rsidRDefault="008A633A">
      <w:pPr>
        <w:jc w:val="both"/>
        <w:rPr>
          <w:rFonts w:ascii="Arial" w:hAnsi="Arial" w:cs="Arial"/>
          <w:b/>
          <w:bCs/>
        </w:rPr>
      </w:pPr>
    </w:p>
    <w:p w:rsidR="008A633A" w:rsidRPr="007248E5" w:rsidRDefault="00637910">
      <w:pPr>
        <w:jc w:val="both"/>
        <w:rPr>
          <w:rFonts w:ascii="Arial" w:hAnsi="Arial" w:cs="Arial"/>
          <w:b/>
          <w:bCs/>
        </w:rPr>
      </w:pPr>
      <w:r w:rsidRPr="007248E5">
        <w:rPr>
          <w:rFonts w:ascii="Arial" w:hAnsi="Arial" w:cs="Arial"/>
          <w:b/>
          <w:bCs/>
        </w:rPr>
        <w:t>20</w:t>
      </w:r>
      <w:r w:rsidR="008A633A" w:rsidRPr="007248E5">
        <w:rPr>
          <w:rFonts w:ascii="Arial" w:hAnsi="Arial" w:cs="Arial"/>
          <w:b/>
          <w:bCs/>
        </w:rPr>
        <w:t>.</w:t>
      </w:r>
      <w:r w:rsidR="008A633A" w:rsidRPr="007248E5">
        <w:rPr>
          <w:rFonts w:ascii="Arial" w:hAnsi="Arial" w:cs="Arial"/>
          <w:b/>
          <w:bCs/>
        </w:rPr>
        <w:tab/>
        <w:t>Quoted Securities</w:t>
      </w:r>
    </w:p>
    <w:p w:rsidR="008A633A" w:rsidRPr="007248E5" w:rsidRDefault="008A633A">
      <w:pPr>
        <w:jc w:val="both"/>
        <w:rPr>
          <w:rFonts w:ascii="Arial" w:hAnsi="Arial" w:cs="Arial"/>
          <w:b/>
          <w:bCs/>
        </w:rPr>
      </w:pPr>
    </w:p>
    <w:p w:rsidR="008A633A" w:rsidRPr="007248E5" w:rsidRDefault="008A633A">
      <w:pPr>
        <w:jc w:val="both"/>
        <w:rPr>
          <w:rFonts w:ascii="Arial" w:hAnsi="Arial" w:cs="Arial"/>
          <w:b/>
          <w:bCs/>
        </w:rPr>
      </w:pPr>
      <w:r w:rsidRPr="007248E5">
        <w:rPr>
          <w:rFonts w:ascii="Arial" w:hAnsi="Arial" w:cs="Arial"/>
          <w:b/>
          <w:bCs/>
        </w:rPr>
        <w:tab/>
      </w:r>
      <w:r w:rsidR="000031ED" w:rsidRPr="007248E5">
        <w:rPr>
          <w:rFonts w:ascii="Arial" w:hAnsi="Arial" w:cs="Arial"/>
        </w:rPr>
        <w:t xml:space="preserve">There was </w:t>
      </w:r>
      <w:r w:rsidRPr="007248E5">
        <w:rPr>
          <w:rFonts w:ascii="Arial" w:hAnsi="Arial" w:cs="Arial"/>
        </w:rPr>
        <w:t>no purchase or sale of quoted securities during the current quarter.</w:t>
      </w:r>
    </w:p>
    <w:p w:rsidR="009F46F1" w:rsidRDefault="009F46F1">
      <w:pPr>
        <w:jc w:val="both"/>
        <w:rPr>
          <w:rFonts w:ascii="Arial" w:hAnsi="Arial" w:cs="Arial"/>
          <w:b/>
          <w:bCs/>
        </w:rPr>
      </w:pPr>
    </w:p>
    <w:p w:rsidR="00037FB6" w:rsidRPr="007248E5" w:rsidRDefault="00037FB6">
      <w:pPr>
        <w:jc w:val="both"/>
        <w:rPr>
          <w:rFonts w:ascii="Arial" w:hAnsi="Arial" w:cs="Arial"/>
          <w:b/>
          <w:bCs/>
        </w:rPr>
      </w:pPr>
    </w:p>
    <w:p w:rsidR="00877084" w:rsidRPr="007248E5" w:rsidRDefault="00877084">
      <w:pPr>
        <w:jc w:val="both"/>
        <w:rPr>
          <w:rFonts w:ascii="Arial" w:hAnsi="Arial" w:cs="Arial"/>
          <w:b/>
          <w:bCs/>
        </w:rPr>
      </w:pPr>
    </w:p>
    <w:p w:rsidR="008A633A" w:rsidRPr="007248E5" w:rsidRDefault="008A633A" w:rsidP="008A633A">
      <w:pPr>
        <w:numPr>
          <w:ilvl w:val="0"/>
          <w:numId w:val="7"/>
        </w:numPr>
        <w:ind w:hanging="720"/>
        <w:jc w:val="both"/>
        <w:rPr>
          <w:rFonts w:ascii="Arial" w:hAnsi="Arial" w:cs="Arial"/>
          <w:b/>
          <w:bCs/>
        </w:rPr>
      </w:pPr>
      <w:r w:rsidRPr="007248E5">
        <w:rPr>
          <w:rFonts w:ascii="Arial" w:hAnsi="Arial" w:cs="Arial"/>
          <w:b/>
          <w:bCs/>
        </w:rPr>
        <w:t>Corporate Proposals</w:t>
      </w:r>
    </w:p>
    <w:p w:rsidR="008A633A" w:rsidRPr="007248E5" w:rsidRDefault="008A633A">
      <w:pPr>
        <w:jc w:val="both"/>
        <w:rPr>
          <w:rFonts w:ascii="Arial" w:hAnsi="Arial" w:cs="Arial"/>
          <w:b/>
          <w:bCs/>
        </w:rPr>
      </w:pPr>
    </w:p>
    <w:p w:rsidR="008A633A" w:rsidRPr="007248E5" w:rsidRDefault="008A633A">
      <w:pPr>
        <w:ind w:left="720"/>
        <w:jc w:val="both"/>
        <w:rPr>
          <w:rFonts w:ascii="Arial" w:hAnsi="Arial" w:cs="Arial"/>
          <w:b/>
          <w:bCs/>
        </w:rPr>
      </w:pPr>
      <w:r w:rsidRPr="007248E5">
        <w:rPr>
          <w:rFonts w:ascii="Arial" w:hAnsi="Arial" w:cs="Arial"/>
        </w:rPr>
        <w:t>There were no corporate proposals announced but not completed during the current quarter.</w:t>
      </w:r>
    </w:p>
    <w:p w:rsidR="008A633A" w:rsidRDefault="008A633A">
      <w:pPr>
        <w:jc w:val="both"/>
        <w:rPr>
          <w:rFonts w:ascii="Arial" w:hAnsi="Arial" w:cs="Arial"/>
          <w:b/>
          <w:bCs/>
        </w:rPr>
      </w:pPr>
    </w:p>
    <w:p w:rsidR="00037FB6" w:rsidRPr="007248E5" w:rsidRDefault="00037FB6">
      <w:pPr>
        <w:jc w:val="both"/>
        <w:rPr>
          <w:rFonts w:ascii="Arial" w:hAnsi="Arial" w:cs="Arial"/>
          <w:b/>
          <w:bCs/>
        </w:rPr>
      </w:pPr>
    </w:p>
    <w:p w:rsidR="00C145C6" w:rsidRPr="007248E5" w:rsidRDefault="00C145C6">
      <w:pPr>
        <w:jc w:val="both"/>
        <w:rPr>
          <w:rFonts w:ascii="Arial" w:hAnsi="Arial" w:cs="Arial"/>
          <w:b/>
          <w:bCs/>
        </w:rPr>
      </w:pPr>
    </w:p>
    <w:p w:rsidR="008A633A" w:rsidRPr="007248E5" w:rsidRDefault="008A633A" w:rsidP="000C6895">
      <w:pPr>
        <w:numPr>
          <w:ilvl w:val="0"/>
          <w:numId w:val="7"/>
        </w:numPr>
        <w:tabs>
          <w:tab w:val="clear" w:pos="720"/>
        </w:tabs>
        <w:ind w:left="709" w:hanging="709"/>
        <w:jc w:val="both"/>
        <w:rPr>
          <w:rFonts w:ascii="Arial" w:hAnsi="Arial" w:cs="Arial"/>
          <w:b/>
          <w:bCs/>
        </w:rPr>
      </w:pPr>
      <w:r w:rsidRPr="007248E5">
        <w:rPr>
          <w:rFonts w:ascii="Arial" w:hAnsi="Arial" w:cs="Arial"/>
          <w:b/>
          <w:bCs/>
        </w:rPr>
        <w:t>Borrowings and Debt Securities</w:t>
      </w:r>
    </w:p>
    <w:p w:rsidR="008A633A" w:rsidRPr="007248E5" w:rsidRDefault="008A633A">
      <w:pPr>
        <w:jc w:val="both"/>
        <w:rPr>
          <w:rFonts w:ascii="Arial" w:hAnsi="Arial" w:cs="Arial"/>
          <w:b/>
          <w:bCs/>
        </w:rPr>
      </w:pPr>
    </w:p>
    <w:tbl>
      <w:tblPr>
        <w:tblW w:w="7571" w:type="dxa"/>
        <w:tblInd w:w="817" w:type="dxa"/>
        <w:tblLayout w:type="fixed"/>
        <w:tblLook w:val="0000"/>
      </w:tblPr>
      <w:tblGrid>
        <w:gridCol w:w="4151"/>
        <w:gridCol w:w="1530"/>
        <w:gridCol w:w="360"/>
        <w:gridCol w:w="1530"/>
      </w:tblGrid>
      <w:tr w:rsidR="00A6705D" w:rsidRPr="007248E5" w:rsidTr="003A6447">
        <w:trPr>
          <w:trHeight w:val="359"/>
        </w:trPr>
        <w:tc>
          <w:tcPr>
            <w:tcW w:w="4151" w:type="dxa"/>
          </w:tcPr>
          <w:p w:rsidR="00A6705D" w:rsidRPr="007248E5" w:rsidRDefault="00A6705D">
            <w:pPr>
              <w:jc w:val="both"/>
              <w:rPr>
                <w:rFonts w:ascii="Arial" w:hAnsi="Arial" w:cs="Arial"/>
                <w:b/>
                <w:bCs/>
              </w:rPr>
            </w:pPr>
          </w:p>
        </w:tc>
        <w:tc>
          <w:tcPr>
            <w:tcW w:w="1530" w:type="dxa"/>
          </w:tcPr>
          <w:p w:rsidR="00A6705D" w:rsidRPr="007248E5" w:rsidRDefault="00A6705D" w:rsidP="005F7ACD">
            <w:pPr>
              <w:jc w:val="right"/>
              <w:rPr>
                <w:rFonts w:ascii="Arial" w:hAnsi="Arial" w:cs="Arial"/>
                <w:b/>
                <w:bCs/>
                <w:u w:val="single"/>
              </w:rPr>
            </w:pPr>
            <w:r w:rsidRPr="007248E5">
              <w:rPr>
                <w:rFonts w:ascii="Arial" w:hAnsi="Arial" w:cs="Arial"/>
                <w:u w:val="single"/>
              </w:rPr>
              <w:t>As at 3</w:t>
            </w:r>
            <w:r w:rsidR="005F7ACD" w:rsidRPr="007248E5">
              <w:rPr>
                <w:rFonts w:ascii="Arial" w:hAnsi="Arial" w:cs="Arial"/>
                <w:u w:val="single"/>
              </w:rPr>
              <w:t>1</w:t>
            </w:r>
            <w:r w:rsidR="00B724D9" w:rsidRPr="007248E5">
              <w:rPr>
                <w:rFonts w:ascii="Arial" w:hAnsi="Arial" w:cs="Arial"/>
                <w:u w:val="single"/>
              </w:rPr>
              <w:t>.</w:t>
            </w:r>
            <w:r w:rsidR="005F7ACD" w:rsidRPr="007248E5">
              <w:rPr>
                <w:rFonts w:ascii="Arial" w:hAnsi="Arial" w:cs="Arial"/>
                <w:u w:val="single"/>
              </w:rPr>
              <w:t>12</w:t>
            </w:r>
            <w:r w:rsidRPr="007248E5">
              <w:rPr>
                <w:rFonts w:ascii="Arial" w:hAnsi="Arial" w:cs="Arial"/>
                <w:u w:val="single"/>
              </w:rPr>
              <w:t>.20</w:t>
            </w:r>
            <w:r w:rsidR="0032742F" w:rsidRPr="007248E5">
              <w:rPr>
                <w:rFonts w:ascii="Arial" w:hAnsi="Arial" w:cs="Arial"/>
                <w:u w:val="single"/>
              </w:rPr>
              <w:t>1</w:t>
            </w:r>
            <w:r w:rsidR="00982C8C" w:rsidRPr="007248E5">
              <w:rPr>
                <w:rFonts w:ascii="Arial" w:hAnsi="Arial" w:cs="Arial"/>
                <w:u w:val="single"/>
              </w:rPr>
              <w:t>1</w:t>
            </w:r>
          </w:p>
        </w:tc>
        <w:tc>
          <w:tcPr>
            <w:tcW w:w="360" w:type="dxa"/>
          </w:tcPr>
          <w:p w:rsidR="00A6705D" w:rsidRPr="007248E5" w:rsidRDefault="00A6705D" w:rsidP="0069326A">
            <w:pPr>
              <w:jc w:val="center"/>
              <w:rPr>
                <w:rFonts w:ascii="Arial" w:hAnsi="Arial" w:cs="Arial"/>
                <w:u w:val="single"/>
              </w:rPr>
            </w:pPr>
          </w:p>
        </w:tc>
        <w:tc>
          <w:tcPr>
            <w:tcW w:w="1530" w:type="dxa"/>
          </w:tcPr>
          <w:p w:rsidR="009A4809" w:rsidRPr="007248E5" w:rsidRDefault="009A4809" w:rsidP="00BD4507">
            <w:pPr>
              <w:jc w:val="right"/>
              <w:rPr>
                <w:rFonts w:ascii="Arial" w:hAnsi="Arial" w:cs="Arial"/>
                <w:u w:val="single"/>
              </w:rPr>
            </w:pPr>
            <w:r w:rsidRPr="007248E5">
              <w:rPr>
                <w:rFonts w:ascii="Arial" w:hAnsi="Arial" w:cs="Arial"/>
                <w:u w:val="single"/>
              </w:rPr>
              <w:t>As at</w:t>
            </w:r>
          </w:p>
          <w:p w:rsidR="00A6705D" w:rsidRPr="007248E5" w:rsidRDefault="009A4809" w:rsidP="00BD4507">
            <w:pPr>
              <w:jc w:val="right"/>
              <w:rPr>
                <w:rFonts w:ascii="Arial" w:hAnsi="Arial" w:cs="Arial"/>
                <w:b/>
                <w:bCs/>
                <w:u w:val="single"/>
              </w:rPr>
            </w:pPr>
            <w:r w:rsidRPr="007248E5">
              <w:rPr>
                <w:rFonts w:ascii="Arial" w:hAnsi="Arial" w:cs="Arial"/>
                <w:u w:val="single"/>
              </w:rPr>
              <w:t>31.12.20</w:t>
            </w:r>
            <w:r w:rsidR="00982C8C" w:rsidRPr="007248E5">
              <w:rPr>
                <w:rFonts w:ascii="Arial" w:hAnsi="Arial" w:cs="Arial"/>
                <w:u w:val="single"/>
              </w:rPr>
              <w:t>1</w:t>
            </w:r>
            <w:r w:rsidRPr="007248E5">
              <w:rPr>
                <w:rFonts w:ascii="Arial" w:hAnsi="Arial" w:cs="Arial"/>
                <w:u w:val="single"/>
              </w:rPr>
              <w:t>0</w:t>
            </w:r>
          </w:p>
        </w:tc>
      </w:tr>
      <w:tr w:rsidR="00A6705D" w:rsidRPr="007248E5" w:rsidTr="003A6447">
        <w:trPr>
          <w:trHeight w:val="341"/>
        </w:trPr>
        <w:tc>
          <w:tcPr>
            <w:tcW w:w="4151" w:type="dxa"/>
          </w:tcPr>
          <w:p w:rsidR="00A6705D" w:rsidRPr="007248E5" w:rsidRDefault="00A6705D">
            <w:pPr>
              <w:jc w:val="both"/>
              <w:rPr>
                <w:rFonts w:ascii="Arial" w:hAnsi="Arial" w:cs="Arial"/>
                <w:b/>
                <w:bCs/>
              </w:rPr>
            </w:pPr>
          </w:p>
        </w:tc>
        <w:tc>
          <w:tcPr>
            <w:tcW w:w="1530" w:type="dxa"/>
          </w:tcPr>
          <w:p w:rsidR="00A6705D" w:rsidRPr="007248E5" w:rsidRDefault="00A6705D" w:rsidP="00BD4507">
            <w:pPr>
              <w:jc w:val="right"/>
              <w:rPr>
                <w:rFonts w:ascii="Arial" w:hAnsi="Arial" w:cs="Arial"/>
                <w:b/>
                <w:bCs/>
              </w:rPr>
            </w:pPr>
            <w:r w:rsidRPr="007248E5">
              <w:rPr>
                <w:rFonts w:ascii="Arial" w:hAnsi="Arial" w:cs="Arial"/>
              </w:rPr>
              <w:t>RM’000</w:t>
            </w:r>
          </w:p>
        </w:tc>
        <w:tc>
          <w:tcPr>
            <w:tcW w:w="360" w:type="dxa"/>
          </w:tcPr>
          <w:p w:rsidR="00A6705D" w:rsidRPr="007248E5" w:rsidRDefault="00A6705D" w:rsidP="0069326A">
            <w:pPr>
              <w:jc w:val="center"/>
              <w:rPr>
                <w:rFonts w:ascii="Arial" w:hAnsi="Arial" w:cs="Arial"/>
              </w:rPr>
            </w:pPr>
          </w:p>
        </w:tc>
        <w:tc>
          <w:tcPr>
            <w:tcW w:w="1530" w:type="dxa"/>
          </w:tcPr>
          <w:p w:rsidR="00A6705D" w:rsidRPr="007248E5" w:rsidRDefault="009A4809" w:rsidP="00BD4507">
            <w:pPr>
              <w:jc w:val="right"/>
              <w:rPr>
                <w:rFonts w:ascii="Arial" w:hAnsi="Arial" w:cs="Arial"/>
                <w:b/>
                <w:bCs/>
              </w:rPr>
            </w:pPr>
            <w:r w:rsidRPr="007248E5">
              <w:rPr>
                <w:rFonts w:ascii="Arial" w:hAnsi="Arial" w:cs="Arial"/>
              </w:rPr>
              <w:t>RM’000</w:t>
            </w:r>
          </w:p>
        </w:tc>
      </w:tr>
      <w:tr w:rsidR="00A6705D" w:rsidRPr="007248E5" w:rsidTr="003A6447">
        <w:tc>
          <w:tcPr>
            <w:tcW w:w="4151" w:type="dxa"/>
          </w:tcPr>
          <w:p w:rsidR="00A6705D" w:rsidRPr="007248E5" w:rsidRDefault="00A6705D">
            <w:pPr>
              <w:jc w:val="both"/>
              <w:rPr>
                <w:rFonts w:ascii="Arial" w:hAnsi="Arial" w:cs="Arial"/>
              </w:rPr>
            </w:pPr>
            <w:r w:rsidRPr="007248E5">
              <w:rPr>
                <w:rFonts w:ascii="Arial" w:hAnsi="Arial" w:cs="Arial"/>
              </w:rPr>
              <w:t>Short term borrowings:</w:t>
            </w:r>
          </w:p>
        </w:tc>
        <w:tc>
          <w:tcPr>
            <w:tcW w:w="1530" w:type="dxa"/>
          </w:tcPr>
          <w:p w:rsidR="00A6705D" w:rsidRPr="007248E5" w:rsidRDefault="00A6705D" w:rsidP="00BD4507">
            <w:pPr>
              <w:jc w:val="right"/>
              <w:rPr>
                <w:rFonts w:ascii="Arial" w:hAnsi="Arial" w:cs="Arial"/>
                <w:bCs/>
              </w:rPr>
            </w:pPr>
          </w:p>
        </w:tc>
        <w:tc>
          <w:tcPr>
            <w:tcW w:w="360" w:type="dxa"/>
          </w:tcPr>
          <w:p w:rsidR="00A6705D" w:rsidRPr="007248E5" w:rsidRDefault="00A6705D" w:rsidP="0069326A">
            <w:pPr>
              <w:jc w:val="center"/>
              <w:rPr>
                <w:rFonts w:ascii="Arial" w:hAnsi="Arial" w:cs="Arial"/>
                <w:bCs/>
              </w:rPr>
            </w:pPr>
          </w:p>
        </w:tc>
        <w:tc>
          <w:tcPr>
            <w:tcW w:w="1530" w:type="dxa"/>
          </w:tcPr>
          <w:p w:rsidR="00A6705D" w:rsidRPr="007248E5" w:rsidRDefault="00A6705D" w:rsidP="00BD4507">
            <w:pPr>
              <w:jc w:val="right"/>
              <w:rPr>
                <w:rFonts w:ascii="Arial" w:hAnsi="Arial" w:cs="Arial"/>
                <w:bCs/>
              </w:rPr>
            </w:pPr>
          </w:p>
        </w:tc>
      </w:tr>
      <w:tr w:rsidR="00E40A98" w:rsidRPr="007248E5" w:rsidTr="000620B8">
        <w:trPr>
          <w:trHeight w:val="277"/>
        </w:trPr>
        <w:tc>
          <w:tcPr>
            <w:tcW w:w="4151" w:type="dxa"/>
          </w:tcPr>
          <w:p w:rsidR="00E40A98" w:rsidRPr="007248E5" w:rsidRDefault="00E40A98">
            <w:pPr>
              <w:jc w:val="both"/>
              <w:rPr>
                <w:rFonts w:ascii="Arial" w:hAnsi="Arial" w:cs="Arial"/>
              </w:rPr>
            </w:pPr>
            <w:r w:rsidRPr="007248E5">
              <w:rPr>
                <w:rFonts w:ascii="Arial" w:hAnsi="Arial" w:cs="Arial"/>
              </w:rPr>
              <w:t xml:space="preserve">  Secured</w:t>
            </w:r>
          </w:p>
        </w:tc>
        <w:tc>
          <w:tcPr>
            <w:tcW w:w="1530" w:type="dxa"/>
            <w:vAlign w:val="center"/>
          </w:tcPr>
          <w:p w:rsidR="00E40A98" w:rsidRPr="007248E5" w:rsidRDefault="001E5406" w:rsidP="00A62032">
            <w:pPr>
              <w:jc w:val="right"/>
              <w:rPr>
                <w:rFonts w:ascii="Arial" w:hAnsi="Arial" w:cs="Arial"/>
              </w:rPr>
            </w:pPr>
            <w:r w:rsidRPr="007248E5">
              <w:rPr>
                <w:rFonts w:ascii="Arial" w:hAnsi="Arial" w:cs="Arial"/>
              </w:rPr>
              <w:t>3</w:t>
            </w:r>
            <w:r w:rsidR="00A62032">
              <w:rPr>
                <w:rFonts w:ascii="Arial" w:hAnsi="Arial" w:cs="Arial"/>
              </w:rPr>
              <w:t>3</w:t>
            </w:r>
            <w:r w:rsidR="00E40A98" w:rsidRPr="007248E5">
              <w:rPr>
                <w:rFonts w:ascii="Arial" w:hAnsi="Arial" w:cs="Arial"/>
              </w:rPr>
              <w:t>,</w:t>
            </w:r>
            <w:r w:rsidR="00A62032">
              <w:rPr>
                <w:rFonts w:ascii="Arial" w:hAnsi="Arial" w:cs="Arial"/>
              </w:rPr>
              <w:t>288</w:t>
            </w:r>
          </w:p>
        </w:tc>
        <w:tc>
          <w:tcPr>
            <w:tcW w:w="360" w:type="dxa"/>
          </w:tcPr>
          <w:p w:rsidR="00E40A98" w:rsidRPr="007248E5" w:rsidRDefault="00E40A98">
            <w:pPr>
              <w:jc w:val="right"/>
              <w:rPr>
                <w:rFonts w:ascii="Arial" w:hAnsi="Arial" w:cs="Arial"/>
              </w:rPr>
            </w:pPr>
          </w:p>
        </w:tc>
        <w:tc>
          <w:tcPr>
            <w:tcW w:w="1530" w:type="dxa"/>
          </w:tcPr>
          <w:p w:rsidR="00E40A98" w:rsidRPr="007248E5" w:rsidRDefault="00E40A98" w:rsidP="00BD4507">
            <w:pPr>
              <w:jc w:val="right"/>
              <w:rPr>
                <w:rFonts w:ascii="Arial" w:hAnsi="Arial" w:cs="Arial"/>
              </w:rPr>
            </w:pPr>
            <w:r w:rsidRPr="007248E5">
              <w:rPr>
                <w:rFonts w:ascii="Arial" w:hAnsi="Arial" w:cs="Arial"/>
              </w:rPr>
              <w:t>31,459</w:t>
            </w:r>
          </w:p>
        </w:tc>
      </w:tr>
      <w:tr w:rsidR="00E40A98" w:rsidRPr="007248E5" w:rsidTr="000620B8">
        <w:tc>
          <w:tcPr>
            <w:tcW w:w="4151" w:type="dxa"/>
          </w:tcPr>
          <w:p w:rsidR="00E40A98" w:rsidRPr="007248E5" w:rsidRDefault="00E40A98">
            <w:pPr>
              <w:jc w:val="both"/>
              <w:rPr>
                <w:rFonts w:ascii="Arial" w:hAnsi="Arial" w:cs="Arial"/>
              </w:rPr>
            </w:pPr>
            <w:r w:rsidRPr="007248E5">
              <w:rPr>
                <w:rFonts w:ascii="Arial" w:hAnsi="Arial" w:cs="Arial"/>
              </w:rPr>
              <w:t>Long term borrowings:</w:t>
            </w:r>
          </w:p>
        </w:tc>
        <w:tc>
          <w:tcPr>
            <w:tcW w:w="1530" w:type="dxa"/>
            <w:vAlign w:val="center"/>
          </w:tcPr>
          <w:p w:rsidR="00E40A98" w:rsidRPr="007248E5" w:rsidRDefault="00E40A98" w:rsidP="00BD4507">
            <w:pPr>
              <w:jc w:val="right"/>
              <w:rPr>
                <w:rFonts w:ascii="Arial" w:hAnsi="Arial" w:cs="Arial"/>
              </w:rPr>
            </w:pPr>
          </w:p>
        </w:tc>
        <w:tc>
          <w:tcPr>
            <w:tcW w:w="360" w:type="dxa"/>
          </w:tcPr>
          <w:p w:rsidR="00E40A98" w:rsidRPr="007248E5" w:rsidRDefault="00E40A98" w:rsidP="0069326A">
            <w:pPr>
              <w:jc w:val="center"/>
              <w:rPr>
                <w:rFonts w:ascii="Arial" w:hAnsi="Arial" w:cs="Arial"/>
              </w:rPr>
            </w:pPr>
          </w:p>
        </w:tc>
        <w:tc>
          <w:tcPr>
            <w:tcW w:w="1530" w:type="dxa"/>
          </w:tcPr>
          <w:p w:rsidR="00E40A98" w:rsidRPr="007248E5" w:rsidRDefault="00E40A98" w:rsidP="00BD4507">
            <w:pPr>
              <w:jc w:val="right"/>
              <w:rPr>
                <w:rFonts w:ascii="Arial" w:hAnsi="Arial" w:cs="Arial"/>
              </w:rPr>
            </w:pPr>
          </w:p>
        </w:tc>
      </w:tr>
      <w:tr w:rsidR="00E40A98" w:rsidRPr="007248E5" w:rsidTr="000620B8">
        <w:tc>
          <w:tcPr>
            <w:tcW w:w="4151" w:type="dxa"/>
          </w:tcPr>
          <w:p w:rsidR="00E40A98" w:rsidRPr="007248E5" w:rsidRDefault="00E40A98">
            <w:pPr>
              <w:jc w:val="both"/>
              <w:rPr>
                <w:rFonts w:ascii="Arial" w:hAnsi="Arial" w:cs="Arial"/>
              </w:rPr>
            </w:pPr>
            <w:r w:rsidRPr="007248E5">
              <w:rPr>
                <w:rFonts w:ascii="Arial" w:hAnsi="Arial" w:cs="Arial"/>
              </w:rPr>
              <w:t xml:space="preserve">  Secured</w:t>
            </w:r>
          </w:p>
        </w:tc>
        <w:tc>
          <w:tcPr>
            <w:tcW w:w="1530" w:type="dxa"/>
            <w:vAlign w:val="center"/>
          </w:tcPr>
          <w:p w:rsidR="00E40A98" w:rsidRPr="007248E5" w:rsidRDefault="00E40A98" w:rsidP="00A62032">
            <w:pPr>
              <w:jc w:val="right"/>
              <w:rPr>
                <w:rFonts w:ascii="Arial" w:hAnsi="Arial" w:cs="Arial"/>
              </w:rPr>
            </w:pPr>
            <w:r w:rsidRPr="007248E5">
              <w:rPr>
                <w:rFonts w:ascii="Arial" w:hAnsi="Arial" w:cs="Arial"/>
              </w:rPr>
              <w:t>4,</w:t>
            </w:r>
            <w:r w:rsidR="00A62032">
              <w:rPr>
                <w:rFonts w:ascii="Arial" w:hAnsi="Arial" w:cs="Arial"/>
              </w:rPr>
              <w:t>287</w:t>
            </w:r>
          </w:p>
        </w:tc>
        <w:tc>
          <w:tcPr>
            <w:tcW w:w="360" w:type="dxa"/>
          </w:tcPr>
          <w:p w:rsidR="00E40A98" w:rsidRPr="007248E5" w:rsidRDefault="00E40A98">
            <w:pPr>
              <w:jc w:val="right"/>
              <w:rPr>
                <w:rFonts w:ascii="Arial" w:hAnsi="Arial" w:cs="Arial"/>
              </w:rPr>
            </w:pPr>
          </w:p>
        </w:tc>
        <w:tc>
          <w:tcPr>
            <w:tcW w:w="1530" w:type="dxa"/>
          </w:tcPr>
          <w:p w:rsidR="00E40A98" w:rsidRPr="007248E5" w:rsidRDefault="00E40A98" w:rsidP="00BD4507">
            <w:pPr>
              <w:jc w:val="right"/>
              <w:rPr>
                <w:rFonts w:ascii="Arial" w:hAnsi="Arial" w:cs="Arial"/>
              </w:rPr>
            </w:pPr>
            <w:r w:rsidRPr="007248E5">
              <w:rPr>
                <w:rFonts w:ascii="Arial" w:hAnsi="Arial" w:cs="Arial"/>
              </w:rPr>
              <w:t>3,198</w:t>
            </w:r>
          </w:p>
        </w:tc>
      </w:tr>
      <w:tr w:rsidR="00E40A98" w:rsidRPr="007248E5" w:rsidTr="000620B8">
        <w:tc>
          <w:tcPr>
            <w:tcW w:w="4151" w:type="dxa"/>
          </w:tcPr>
          <w:p w:rsidR="00E40A98" w:rsidRPr="007248E5" w:rsidRDefault="00E40A98">
            <w:pPr>
              <w:jc w:val="both"/>
              <w:rPr>
                <w:rFonts w:ascii="Arial" w:hAnsi="Arial" w:cs="Arial"/>
              </w:rPr>
            </w:pPr>
          </w:p>
        </w:tc>
        <w:tc>
          <w:tcPr>
            <w:tcW w:w="1530" w:type="dxa"/>
            <w:tcBorders>
              <w:bottom w:val="single" w:sz="4" w:space="0" w:color="auto"/>
            </w:tcBorders>
            <w:vAlign w:val="center"/>
          </w:tcPr>
          <w:p w:rsidR="00E40A98" w:rsidRPr="007248E5" w:rsidRDefault="00E40A98" w:rsidP="00BD4507">
            <w:pPr>
              <w:jc w:val="right"/>
              <w:rPr>
                <w:rFonts w:ascii="Arial" w:hAnsi="Arial" w:cs="Arial"/>
              </w:rPr>
            </w:pPr>
          </w:p>
        </w:tc>
        <w:tc>
          <w:tcPr>
            <w:tcW w:w="360" w:type="dxa"/>
          </w:tcPr>
          <w:p w:rsidR="00E40A98" w:rsidRPr="007248E5" w:rsidRDefault="00E40A98">
            <w:pPr>
              <w:jc w:val="right"/>
              <w:rPr>
                <w:rFonts w:ascii="Arial" w:hAnsi="Arial" w:cs="Arial"/>
              </w:rPr>
            </w:pPr>
          </w:p>
        </w:tc>
        <w:tc>
          <w:tcPr>
            <w:tcW w:w="1530" w:type="dxa"/>
            <w:tcBorders>
              <w:bottom w:val="single" w:sz="4" w:space="0" w:color="auto"/>
            </w:tcBorders>
          </w:tcPr>
          <w:p w:rsidR="00E40A98" w:rsidRPr="007248E5" w:rsidRDefault="00E40A98" w:rsidP="00BD4507">
            <w:pPr>
              <w:jc w:val="right"/>
              <w:rPr>
                <w:rFonts w:ascii="Arial" w:hAnsi="Arial" w:cs="Arial"/>
              </w:rPr>
            </w:pPr>
          </w:p>
        </w:tc>
      </w:tr>
      <w:tr w:rsidR="00E40A98" w:rsidRPr="007248E5" w:rsidTr="000620B8">
        <w:tc>
          <w:tcPr>
            <w:tcW w:w="4151" w:type="dxa"/>
          </w:tcPr>
          <w:p w:rsidR="00E40A98" w:rsidRPr="007248E5" w:rsidRDefault="00E40A98">
            <w:pPr>
              <w:jc w:val="both"/>
              <w:rPr>
                <w:rFonts w:ascii="Arial" w:hAnsi="Arial" w:cs="Arial"/>
              </w:rPr>
            </w:pPr>
            <w:r w:rsidRPr="007248E5">
              <w:rPr>
                <w:rFonts w:ascii="Arial" w:hAnsi="Arial" w:cs="Arial"/>
              </w:rPr>
              <w:t>Total borrowings</w:t>
            </w:r>
          </w:p>
        </w:tc>
        <w:tc>
          <w:tcPr>
            <w:tcW w:w="1530" w:type="dxa"/>
            <w:tcBorders>
              <w:top w:val="single" w:sz="4" w:space="0" w:color="auto"/>
              <w:bottom w:val="single" w:sz="4" w:space="0" w:color="auto"/>
            </w:tcBorders>
            <w:vAlign w:val="center"/>
          </w:tcPr>
          <w:p w:rsidR="00E40A98" w:rsidRPr="007248E5" w:rsidRDefault="00E40A98" w:rsidP="00A71BD6">
            <w:pPr>
              <w:jc w:val="right"/>
              <w:rPr>
                <w:rFonts w:ascii="Arial" w:hAnsi="Arial" w:cs="Arial"/>
              </w:rPr>
            </w:pPr>
            <w:r w:rsidRPr="007248E5">
              <w:rPr>
                <w:rFonts w:ascii="Arial" w:hAnsi="Arial" w:cs="Arial"/>
              </w:rPr>
              <w:t>3</w:t>
            </w:r>
            <w:r w:rsidR="00A71BD6" w:rsidRPr="007248E5">
              <w:rPr>
                <w:rFonts w:ascii="Arial" w:hAnsi="Arial" w:cs="Arial"/>
              </w:rPr>
              <w:t>7</w:t>
            </w:r>
            <w:r w:rsidRPr="007248E5">
              <w:rPr>
                <w:rFonts w:ascii="Arial" w:hAnsi="Arial" w:cs="Arial"/>
              </w:rPr>
              <w:t>,</w:t>
            </w:r>
            <w:r w:rsidR="00A62032">
              <w:rPr>
                <w:rFonts w:ascii="Arial" w:hAnsi="Arial" w:cs="Arial"/>
              </w:rPr>
              <w:t>575</w:t>
            </w:r>
          </w:p>
        </w:tc>
        <w:tc>
          <w:tcPr>
            <w:tcW w:w="360" w:type="dxa"/>
            <w:tcBorders>
              <w:left w:val="nil"/>
            </w:tcBorders>
          </w:tcPr>
          <w:p w:rsidR="00E40A98" w:rsidRPr="007248E5" w:rsidRDefault="00E40A98" w:rsidP="0094395B">
            <w:pPr>
              <w:jc w:val="right"/>
              <w:rPr>
                <w:rFonts w:ascii="Arial" w:hAnsi="Arial" w:cs="Arial"/>
              </w:rPr>
            </w:pPr>
          </w:p>
        </w:tc>
        <w:tc>
          <w:tcPr>
            <w:tcW w:w="1530" w:type="dxa"/>
            <w:tcBorders>
              <w:top w:val="single" w:sz="4" w:space="0" w:color="auto"/>
              <w:bottom w:val="single" w:sz="4" w:space="0" w:color="auto"/>
            </w:tcBorders>
          </w:tcPr>
          <w:p w:rsidR="00E40A98" w:rsidRPr="007248E5" w:rsidRDefault="00E40A98" w:rsidP="00BD4507">
            <w:pPr>
              <w:jc w:val="right"/>
              <w:rPr>
                <w:rFonts w:ascii="Arial" w:hAnsi="Arial" w:cs="Arial"/>
              </w:rPr>
            </w:pPr>
            <w:r w:rsidRPr="007248E5">
              <w:rPr>
                <w:rFonts w:ascii="Arial" w:hAnsi="Arial" w:cs="Arial"/>
              </w:rPr>
              <w:t>34,657</w:t>
            </w:r>
          </w:p>
        </w:tc>
      </w:tr>
    </w:tbl>
    <w:p w:rsidR="008A633A" w:rsidRPr="007248E5" w:rsidRDefault="008A633A">
      <w:pPr>
        <w:jc w:val="both"/>
        <w:rPr>
          <w:rFonts w:ascii="Arial" w:hAnsi="Arial" w:cs="Arial"/>
          <w:b/>
          <w:bCs/>
        </w:rPr>
      </w:pPr>
    </w:p>
    <w:p w:rsidR="00393E5B" w:rsidRPr="007248E5" w:rsidRDefault="00393E5B">
      <w:pPr>
        <w:jc w:val="both"/>
        <w:rPr>
          <w:rFonts w:ascii="Arial" w:hAnsi="Arial" w:cs="Arial"/>
          <w:b/>
          <w:bCs/>
        </w:rPr>
      </w:pPr>
    </w:p>
    <w:p w:rsidR="00E40A98" w:rsidRPr="007248E5" w:rsidRDefault="00E40A98">
      <w:pPr>
        <w:jc w:val="both"/>
        <w:rPr>
          <w:rFonts w:ascii="Arial" w:hAnsi="Arial" w:cs="Arial"/>
          <w:b/>
          <w:bCs/>
        </w:rPr>
      </w:pPr>
    </w:p>
    <w:p w:rsidR="008A633A" w:rsidRPr="007248E5" w:rsidRDefault="00637910">
      <w:pPr>
        <w:jc w:val="both"/>
        <w:rPr>
          <w:rFonts w:ascii="Arial" w:hAnsi="Arial" w:cs="Arial"/>
          <w:b/>
          <w:bCs/>
        </w:rPr>
      </w:pPr>
      <w:r w:rsidRPr="007248E5">
        <w:rPr>
          <w:rFonts w:ascii="Arial" w:hAnsi="Arial" w:cs="Arial"/>
          <w:b/>
          <w:bCs/>
        </w:rPr>
        <w:t>23</w:t>
      </w:r>
      <w:r w:rsidR="008A633A" w:rsidRPr="007248E5">
        <w:rPr>
          <w:rFonts w:ascii="Arial" w:hAnsi="Arial" w:cs="Arial"/>
          <w:b/>
          <w:bCs/>
        </w:rPr>
        <w:t>.</w:t>
      </w:r>
      <w:r w:rsidR="008A633A" w:rsidRPr="007248E5">
        <w:rPr>
          <w:rFonts w:ascii="Arial" w:hAnsi="Arial" w:cs="Arial"/>
          <w:b/>
          <w:bCs/>
        </w:rPr>
        <w:tab/>
        <w:t>Short Term Investments</w:t>
      </w:r>
    </w:p>
    <w:tbl>
      <w:tblPr>
        <w:tblW w:w="0" w:type="auto"/>
        <w:tblInd w:w="817" w:type="dxa"/>
        <w:tblLayout w:type="fixed"/>
        <w:tblLook w:val="0000"/>
      </w:tblPr>
      <w:tblGrid>
        <w:gridCol w:w="4151"/>
        <w:gridCol w:w="1530"/>
        <w:gridCol w:w="360"/>
        <w:gridCol w:w="1530"/>
      </w:tblGrid>
      <w:tr w:rsidR="008A633A" w:rsidRPr="007248E5" w:rsidTr="003A6447">
        <w:trPr>
          <w:trHeight w:val="792"/>
        </w:trPr>
        <w:tc>
          <w:tcPr>
            <w:tcW w:w="4151" w:type="dxa"/>
          </w:tcPr>
          <w:p w:rsidR="008A633A" w:rsidRPr="007248E5" w:rsidRDefault="008A633A">
            <w:pPr>
              <w:jc w:val="both"/>
              <w:rPr>
                <w:rFonts w:ascii="Arial" w:hAnsi="Arial" w:cs="Arial"/>
              </w:rPr>
            </w:pPr>
            <w:r w:rsidRPr="007248E5">
              <w:rPr>
                <w:rFonts w:ascii="Arial" w:hAnsi="Arial" w:cs="Arial"/>
                <w:b/>
                <w:bCs/>
              </w:rPr>
              <w:tab/>
            </w:r>
          </w:p>
        </w:tc>
        <w:tc>
          <w:tcPr>
            <w:tcW w:w="1530" w:type="dxa"/>
          </w:tcPr>
          <w:p w:rsidR="008A633A" w:rsidRPr="007248E5" w:rsidRDefault="008A633A" w:rsidP="00A6705D">
            <w:pPr>
              <w:jc w:val="center"/>
              <w:rPr>
                <w:rFonts w:ascii="Arial" w:hAnsi="Arial" w:cs="Arial"/>
              </w:rPr>
            </w:pPr>
          </w:p>
          <w:p w:rsidR="008A633A" w:rsidRPr="007248E5" w:rsidRDefault="00637910" w:rsidP="005F7ACD">
            <w:pPr>
              <w:jc w:val="center"/>
              <w:rPr>
                <w:rFonts w:ascii="Arial" w:hAnsi="Arial" w:cs="Arial"/>
              </w:rPr>
            </w:pPr>
            <w:r w:rsidRPr="007248E5">
              <w:rPr>
                <w:rFonts w:ascii="Arial" w:hAnsi="Arial" w:cs="Arial"/>
                <w:u w:val="single"/>
              </w:rPr>
              <w:t>As at</w:t>
            </w:r>
            <w:r w:rsidRPr="007248E5">
              <w:rPr>
                <w:rFonts w:ascii="Arial" w:hAnsi="Arial" w:cs="Arial"/>
              </w:rPr>
              <w:t xml:space="preserve"> </w:t>
            </w:r>
            <w:r w:rsidR="00D31164" w:rsidRPr="007248E5">
              <w:rPr>
                <w:rFonts w:ascii="Arial" w:hAnsi="Arial" w:cs="Arial"/>
                <w:u w:val="single"/>
              </w:rPr>
              <w:t>3</w:t>
            </w:r>
            <w:r w:rsidR="005F7ACD" w:rsidRPr="007248E5">
              <w:rPr>
                <w:rFonts w:ascii="Arial" w:hAnsi="Arial" w:cs="Arial"/>
                <w:u w:val="single"/>
              </w:rPr>
              <w:t>1</w:t>
            </w:r>
            <w:r w:rsidR="00D31164" w:rsidRPr="007248E5">
              <w:rPr>
                <w:rFonts w:ascii="Arial" w:hAnsi="Arial" w:cs="Arial"/>
                <w:u w:val="single"/>
              </w:rPr>
              <w:t>.</w:t>
            </w:r>
            <w:r w:rsidR="005F7ACD" w:rsidRPr="007248E5">
              <w:rPr>
                <w:rFonts w:ascii="Arial" w:hAnsi="Arial" w:cs="Arial"/>
                <w:u w:val="single"/>
              </w:rPr>
              <w:t>12</w:t>
            </w:r>
            <w:r w:rsidR="00D31164" w:rsidRPr="007248E5">
              <w:rPr>
                <w:rFonts w:ascii="Arial" w:hAnsi="Arial" w:cs="Arial"/>
                <w:u w:val="single"/>
              </w:rPr>
              <w:t>.20</w:t>
            </w:r>
            <w:r w:rsidR="0032742F" w:rsidRPr="007248E5">
              <w:rPr>
                <w:rFonts w:ascii="Arial" w:hAnsi="Arial" w:cs="Arial"/>
                <w:u w:val="single"/>
              </w:rPr>
              <w:t>1</w:t>
            </w:r>
            <w:r w:rsidR="00130357" w:rsidRPr="007248E5">
              <w:rPr>
                <w:rFonts w:ascii="Arial" w:hAnsi="Arial" w:cs="Arial"/>
                <w:u w:val="single"/>
              </w:rPr>
              <w:t>1</w:t>
            </w:r>
          </w:p>
        </w:tc>
        <w:tc>
          <w:tcPr>
            <w:tcW w:w="360" w:type="dxa"/>
          </w:tcPr>
          <w:p w:rsidR="008A633A" w:rsidRPr="007248E5" w:rsidRDefault="008A633A">
            <w:pPr>
              <w:jc w:val="right"/>
              <w:rPr>
                <w:rFonts w:ascii="Arial" w:hAnsi="Arial" w:cs="Arial"/>
              </w:rPr>
            </w:pPr>
          </w:p>
        </w:tc>
        <w:tc>
          <w:tcPr>
            <w:tcW w:w="1530" w:type="dxa"/>
          </w:tcPr>
          <w:p w:rsidR="008A633A" w:rsidRPr="007248E5" w:rsidRDefault="008A633A">
            <w:pPr>
              <w:jc w:val="right"/>
              <w:rPr>
                <w:rFonts w:ascii="Arial" w:hAnsi="Arial" w:cs="Arial"/>
              </w:rPr>
            </w:pPr>
          </w:p>
          <w:p w:rsidR="008A633A" w:rsidRPr="007248E5" w:rsidRDefault="008A633A" w:rsidP="00A6705D">
            <w:pPr>
              <w:jc w:val="center"/>
              <w:rPr>
                <w:rFonts w:ascii="Arial" w:hAnsi="Arial" w:cs="Arial"/>
                <w:u w:val="single"/>
              </w:rPr>
            </w:pPr>
            <w:r w:rsidRPr="007248E5">
              <w:rPr>
                <w:rFonts w:ascii="Arial" w:hAnsi="Arial" w:cs="Arial"/>
                <w:u w:val="single"/>
              </w:rPr>
              <w:t>As at</w:t>
            </w:r>
          </w:p>
          <w:p w:rsidR="008A633A" w:rsidRPr="007248E5" w:rsidRDefault="00637910" w:rsidP="00130357">
            <w:pPr>
              <w:jc w:val="center"/>
              <w:rPr>
                <w:rFonts w:ascii="Arial" w:hAnsi="Arial" w:cs="Arial"/>
                <w:u w:val="single"/>
              </w:rPr>
            </w:pPr>
            <w:r w:rsidRPr="007248E5">
              <w:rPr>
                <w:rFonts w:ascii="Arial" w:hAnsi="Arial" w:cs="Arial"/>
                <w:u w:val="single"/>
              </w:rPr>
              <w:t>31.12.20</w:t>
            </w:r>
            <w:r w:rsidR="00130357" w:rsidRPr="007248E5">
              <w:rPr>
                <w:rFonts w:ascii="Arial" w:hAnsi="Arial" w:cs="Arial"/>
                <w:u w:val="single"/>
              </w:rPr>
              <w:t>10</w:t>
            </w:r>
          </w:p>
        </w:tc>
      </w:tr>
      <w:tr w:rsidR="008A633A" w:rsidRPr="007248E5" w:rsidTr="003A6447">
        <w:tc>
          <w:tcPr>
            <w:tcW w:w="4151" w:type="dxa"/>
          </w:tcPr>
          <w:p w:rsidR="008A633A" w:rsidRPr="007248E5" w:rsidRDefault="008A633A">
            <w:pPr>
              <w:jc w:val="both"/>
              <w:rPr>
                <w:rFonts w:ascii="Arial" w:hAnsi="Arial" w:cs="Arial"/>
              </w:rPr>
            </w:pPr>
          </w:p>
        </w:tc>
        <w:tc>
          <w:tcPr>
            <w:tcW w:w="1530" w:type="dxa"/>
          </w:tcPr>
          <w:p w:rsidR="008A633A" w:rsidRPr="007248E5" w:rsidRDefault="008A633A" w:rsidP="00A6705D">
            <w:pPr>
              <w:jc w:val="center"/>
              <w:rPr>
                <w:rFonts w:ascii="Arial" w:hAnsi="Arial" w:cs="Arial"/>
              </w:rPr>
            </w:pPr>
            <w:r w:rsidRPr="007248E5">
              <w:rPr>
                <w:rFonts w:ascii="Arial" w:hAnsi="Arial" w:cs="Arial"/>
              </w:rPr>
              <w:t>RM’000</w:t>
            </w:r>
          </w:p>
        </w:tc>
        <w:tc>
          <w:tcPr>
            <w:tcW w:w="360" w:type="dxa"/>
          </w:tcPr>
          <w:p w:rsidR="008A633A" w:rsidRPr="007248E5" w:rsidRDefault="008A633A">
            <w:pPr>
              <w:rPr>
                <w:rFonts w:ascii="Arial" w:hAnsi="Arial" w:cs="Arial"/>
              </w:rPr>
            </w:pPr>
          </w:p>
        </w:tc>
        <w:tc>
          <w:tcPr>
            <w:tcW w:w="1530" w:type="dxa"/>
          </w:tcPr>
          <w:p w:rsidR="008A633A" w:rsidRPr="007248E5" w:rsidRDefault="008A633A" w:rsidP="00A6705D">
            <w:pPr>
              <w:jc w:val="center"/>
              <w:rPr>
                <w:rFonts w:ascii="Arial" w:hAnsi="Arial" w:cs="Arial"/>
              </w:rPr>
            </w:pPr>
            <w:r w:rsidRPr="007248E5">
              <w:rPr>
                <w:rFonts w:ascii="Arial" w:hAnsi="Arial" w:cs="Arial"/>
              </w:rPr>
              <w:t>RM’000</w:t>
            </w:r>
          </w:p>
        </w:tc>
      </w:tr>
      <w:tr w:rsidR="008A633A" w:rsidRPr="007248E5" w:rsidTr="003A6447">
        <w:tc>
          <w:tcPr>
            <w:tcW w:w="4151" w:type="dxa"/>
          </w:tcPr>
          <w:p w:rsidR="008A633A" w:rsidRPr="007248E5" w:rsidRDefault="008A633A">
            <w:pPr>
              <w:rPr>
                <w:rFonts w:ascii="Arial" w:hAnsi="Arial" w:cs="Arial"/>
              </w:rPr>
            </w:pPr>
          </w:p>
        </w:tc>
        <w:tc>
          <w:tcPr>
            <w:tcW w:w="1530" w:type="dxa"/>
          </w:tcPr>
          <w:p w:rsidR="008A633A" w:rsidRPr="007248E5" w:rsidRDefault="008A633A" w:rsidP="00A6705D">
            <w:pPr>
              <w:jc w:val="center"/>
              <w:rPr>
                <w:rFonts w:ascii="Arial" w:hAnsi="Arial" w:cs="Arial"/>
              </w:rPr>
            </w:pPr>
          </w:p>
        </w:tc>
        <w:tc>
          <w:tcPr>
            <w:tcW w:w="360" w:type="dxa"/>
          </w:tcPr>
          <w:p w:rsidR="008A633A" w:rsidRPr="007248E5" w:rsidRDefault="008A633A">
            <w:pPr>
              <w:jc w:val="right"/>
              <w:rPr>
                <w:rFonts w:ascii="Arial" w:hAnsi="Arial" w:cs="Arial"/>
              </w:rPr>
            </w:pPr>
          </w:p>
        </w:tc>
        <w:tc>
          <w:tcPr>
            <w:tcW w:w="1530" w:type="dxa"/>
          </w:tcPr>
          <w:p w:rsidR="008A633A" w:rsidRPr="007248E5" w:rsidRDefault="008A633A" w:rsidP="00A6705D">
            <w:pPr>
              <w:jc w:val="center"/>
              <w:rPr>
                <w:rFonts w:ascii="Arial" w:hAnsi="Arial" w:cs="Arial"/>
              </w:rPr>
            </w:pPr>
          </w:p>
        </w:tc>
      </w:tr>
      <w:tr w:rsidR="008A633A" w:rsidRPr="007248E5" w:rsidTr="003A6447">
        <w:tc>
          <w:tcPr>
            <w:tcW w:w="4151" w:type="dxa"/>
          </w:tcPr>
          <w:p w:rsidR="008A633A" w:rsidRPr="007248E5" w:rsidRDefault="008A633A">
            <w:pPr>
              <w:rPr>
                <w:rFonts w:ascii="Arial" w:hAnsi="Arial" w:cs="Arial"/>
              </w:rPr>
            </w:pPr>
            <w:r w:rsidRPr="007248E5">
              <w:rPr>
                <w:rFonts w:ascii="Arial" w:hAnsi="Arial" w:cs="Arial"/>
              </w:rPr>
              <w:t>Investments in money market funds</w:t>
            </w:r>
          </w:p>
        </w:tc>
        <w:tc>
          <w:tcPr>
            <w:tcW w:w="1530" w:type="dxa"/>
          </w:tcPr>
          <w:p w:rsidR="008A633A" w:rsidRPr="007248E5" w:rsidRDefault="00956ECC" w:rsidP="00956ECC">
            <w:pPr>
              <w:jc w:val="center"/>
              <w:rPr>
                <w:rFonts w:ascii="Arial" w:hAnsi="Arial" w:cs="Arial"/>
              </w:rPr>
            </w:pPr>
            <w:r w:rsidRPr="007248E5">
              <w:rPr>
                <w:rFonts w:ascii="Arial" w:hAnsi="Arial" w:cs="Arial"/>
              </w:rPr>
              <w:t>27</w:t>
            </w:r>
            <w:r w:rsidR="000A26B8" w:rsidRPr="007248E5">
              <w:rPr>
                <w:rFonts w:ascii="Arial" w:hAnsi="Arial" w:cs="Arial"/>
              </w:rPr>
              <w:t>,</w:t>
            </w:r>
            <w:r w:rsidRPr="007248E5">
              <w:rPr>
                <w:rFonts w:ascii="Arial" w:hAnsi="Arial" w:cs="Arial"/>
              </w:rPr>
              <w:t>311</w:t>
            </w:r>
          </w:p>
        </w:tc>
        <w:tc>
          <w:tcPr>
            <w:tcW w:w="360" w:type="dxa"/>
          </w:tcPr>
          <w:p w:rsidR="008A633A" w:rsidRPr="007248E5" w:rsidRDefault="008A633A">
            <w:pPr>
              <w:jc w:val="right"/>
              <w:rPr>
                <w:rFonts w:ascii="Arial" w:hAnsi="Arial" w:cs="Arial"/>
              </w:rPr>
            </w:pPr>
          </w:p>
        </w:tc>
        <w:tc>
          <w:tcPr>
            <w:tcW w:w="1530" w:type="dxa"/>
          </w:tcPr>
          <w:p w:rsidR="008A633A" w:rsidRPr="007248E5" w:rsidRDefault="000A26B8" w:rsidP="00AB0DE9">
            <w:pPr>
              <w:jc w:val="center"/>
              <w:rPr>
                <w:rFonts w:ascii="Arial" w:hAnsi="Arial" w:cs="Arial"/>
              </w:rPr>
            </w:pPr>
            <w:r w:rsidRPr="007248E5">
              <w:rPr>
                <w:rFonts w:ascii="Arial" w:hAnsi="Arial" w:cs="Arial"/>
              </w:rPr>
              <w:t>2</w:t>
            </w:r>
            <w:r w:rsidR="00AB0DE9" w:rsidRPr="007248E5">
              <w:rPr>
                <w:rFonts w:ascii="Arial" w:hAnsi="Arial" w:cs="Arial"/>
              </w:rPr>
              <w:t>7</w:t>
            </w:r>
            <w:r w:rsidR="0032742F" w:rsidRPr="007248E5">
              <w:rPr>
                <w:rFonts w:ascii="Arial" w:hAnsi="Arial" w:cs="Arial"/>
              </w:rPr>
              <w:t>,</w:t>
            </w:r>
            <w:r w:rsidR="00AB0DE9" w:rsidRPr="007248E5">
              <w:rPr>
                <w:rFonts w:ascii="Arial" w:hAnsi="Arial" w:cs="Arial"/>
              </w:rPr>
              <w:t>386</w:t>
            </w:r>
          </w:p>
        </w:tc>
      </w:tr>
      <w:tr w:rsidR="00E530C9" w:rsidRPr="007248E5" w:rsidTr="003A6447">
        <w:tc>
          <w:tcPr>
            <w:tcW w:w="4151" w:type="dxa"/>
          </w:tcPr>
          <w:p w:rsidR="00E530C9" w:rsidRPr="007248E5" w:rsidRDefault="00E530C9">
            <w:pPr>
              <w:rPr>
                <w:rFonts w:ascii="Arial" w:hAnsi="Arial" w:cs="Arial"/>
              </w:rPr>
            </w:pPr>
          </w:p>
        </w:tc>
        <w:tc>
          <w:tcPr>
            <w:tcW w:w="1530" w:type="dxa"/>
          </w:tcPr>
          <w:p w:rsidR="00E530C9" w:rsidRPr="007248E5" w:rsidRDefault="00E530C9" w:rsidP="00A6705D">
            <w:pPr>
              <w:jc w:val="center"/>
              <w:rPr>
                <w:rFonts w:ascii="Arial" w:hAnsi="Arial" w:cs="Arial"/>
              </w:rPr>
            </w:pPr>
          </w:p>
          <w:p w:rsidR="00E530C9" w:rsidRPr="007248E5" w:rsidRDefault="00E530C9" w:rsidP="00A6705D">
            <w:pPr>
              <w:jc w:val="center"/>
              <w:rPr>
                <w:rFonts w:ascii="Arial" w:hAnsi="Arial" w:cs="Arial"/>
              </w:rPr>
            </w:pPr>
          </w:p>
        </w:tc>
        <w:tc>
          <w:tcPr>
            <w:tcW w:w="360" w:type="dxa"/>
          </w:tcPr>
          <w:p w:rsidR="00E530C9" w:rsidRPr="007248E5" w:rsidRDefault="00E530C9">
            <w:pPr>
              <w:jc w:val="right"/>
              <w:rPr>
                <w:rFonts w:ascii="Arial" w:hAnsi="Arial" w:cs="Arial"/>
              </w:rPr>
            </w:pPr>
          </w:p>
        </w:tc>
        <w:tc>
          <w:tcPr>
            <w:tcW w:w="1530" w:type="dxa"/>
          </w:tcPr>
          <w:p w:rsidR="00E530C9" w:rsidRPr="007248E5" w:rsidRDefault="00E530C9" w:rsidP="00A6705D">
            <w:pPr>
              <w:jc w:val="center"/>
              <w:rPr>
                <w:rFonts w:ascii="Arial" w:hAnsi="Arial" w:cs="Arial"/>
              </w:rPr>
            </w:pPr>
          </w:p>
          <w:p w:rsidR="00E530C9" w:rsidRPr="007248E5" w:rsidRDefault="00E530C9" w:rsidP="00A6705D">
            <w:pPr>
              <w:jc w:val="center"/>
              <w:rPr>
                <w:rFonts w:ascii="Arial" w:hAnsi="Arial" w:cs="Arial"/>
              </w:rPr>
            </w:pPr>
          </w:p>
        </w:tc>
      </w:tr>
    </w:tbl>
    <w:p w:rsidR="008A633A" w:rsidRPr="007248E5" w:rsidRDefault="00E530C9" w:rsidP="00C54D45">
      <w:pPr>
        <w:ind w:left="720"/>
        <w:jc w:val="both"/>
        <w:rPr>
          <w:rFonts w:ascii="Arial" w:hAnsi="Arial" w:cs="Arial"/>
          <w:bCs/>
        </w:rPr>
      </w:pPr>
      <w:r w:rsidRPr="007248E5">
        <w:rPr>
          <w:rFonts w:ascii="Arial" w:hAnsi="Arial" w:cs="Arial"/>
          <w:bCs/>
        </w:rPr>
        <w:t>There were no material</w:t>
      </w:r>
      <w:r w:rsidR="00292583" w:rsidRPr="007248E5">
        <w:rPr>
          <w:rFonts w:ascii="Arial" w:hAnsi="Arial" w:cs="Arial"/>
          <w:bCs/>
        </w:rPr>
        <w:t xml:space="preserve"> profits/ losses arise</w:t>
      </w:r>
      <w:r w:rsidRPr="007248E5">
        <w:rPr>
          <w:rFonts w:ascii="Arial" w:hAnsi="Arial" w:cs="Arial"/>
          <w:bCs/>
        </w:rPr>
        <w:t xml:space="preserve"> from the sale of the above investment as the </w:t>
      </w:r>
      <w:r w:rsidR="00400BE6" w:rsidRPr="007248E5">
        <w:rPr>
          <w:rFonts w:ascii="Arial" w:hAnsi="Arial" w:cs="Arial"/>
          <w:bCs/>
        </w:rPr>
        <w:t>capi</w:t>
      </w:r>
      <w:r w:rsidR="006F4431">
        <w:rPr>
          <w:rFonts w:ascii="Arial" w:hAnsi="Arial" w:cs="Arial"/>
          <w:bCs/>
        </w:rPr>
        <w:t>tal value is preserved.</w:t>
      </w:r>
    </w:p>
    <w:p w:rsidR="008D1B74" w:rsidRPr="007248E5" w:rsidRDefault="008D1B74">
      <w:pPr>
        <w:jc w:val="both"/>
        <w:rPr>
          <w:rFonts w:ascii="Arial" w:hAnsi="Arial" w:cs="Arial"/>
          <w:bCs/>
        </w:rPr>
      </w:pPr>
    </w:p>
    <w:p w:rsidR="001E5406" w:rsidRPr="007248E5" w:rsidRDefault="001E5406">
      <w:pPr>
        <w:jc w:val="both"/>
        <w:rPr>
          <w:rFonts w:ascii="Arial" w:hAnsi="Arial" w:cs="Arial"/>
          <w:bCs/>
        </w:rPr>
      </w:pPr>
    </w:p>
    <w:p w:rsidR="00E530C9" w:rsidRPr="007248E5" w:rsidRDefault="00E530C9">
      <w:pPr>
        <w:jc w:val="both"/>
        <w:rPr>
          <w:rFonts w:ascii="Arial" w:hAnsi="Arial" w:cs="Arial"/>
          <w:bCs/>
        </w:rPr>
      </w:pPr>
    </w:p>
    <w:p w:rsidR="008A633A" w:rsidRPr="007248E5" w:rsidRDefault="00637910">
      <w:pPr>
        <w:jc w:val="both"/>
        <w:rPr>
          <w:rFonts w:ascii="Arial" w:hAnsi="Arial" w:cs="Arial"/>
          <w:b/>
          <w:bCs/>
        </w:rPr>
      </w:pPr>
      <w:r w:rsidRPr="007248E5">
        <w:rPr>
          <w:rFonts w:ascii="Arial" w:hAnsi="Arial" w:cs="Arial"/>
          <w:b/>
          <w:bCs/>
        </w:rPr>
        <w:t>24</w:t>
      </w:r>
      <w:r w:rsidR="008A633A" w:rsidRPr="007248E5">
        <w:rPr>
          <w:rFonts w:ascii="Arial" w:hAnsi="Arial" w:cs="Arial"/>
          <w:b/>
          <w:bCs/>
        </w:rPr>
        <w:t>.</w:t>
      </w:r>
      <w:r w:rsidR="008A633A" w:rsidRPr="007248E5">
        <w:rPr>
          <w:rFonts w:ascii="Arial" w:hAnsi="Arial" w:cs="Arial"/>
          <w:b/>
          <w:bCs/>
        </w:rPr>
        <w:tab/>
      </w:r>
      <w:proofErr w:type="gramStart"/>
      <w:r w:rsidR="008A633A" w:rsidRPr="007248E5">
        <w:rPr>
          <w:rFonts w:ascii="Arial" w:hAnsi="Arial" w:cs="Arial"/>
          <w:b/>
          <w:bCs/>
        </w:rPr>
        <w:t>Off</w:t>
      </w:r>
      <w:proofErr w:type="gramEnd"/>
      <w:r w:rsidR="008A633A" w:rsidRPr="007248E5">
        <w:rPr>
          <w:rFonts w:ascii="Arial" w:hAnsi="Arial" w:cs="Arial"/>
          <w:b/>
          <w:bCs/>
        </w:rPr>
        <w:t xml:space="preserve"> Balance Sheet Financial Instruments</w:t>
      </w:r>
    </w:p>
    <w:p w:rsidR="008A633A" w:rsidRPr="007248E5" w:rsidRDefault="008A633A">
      <w:pPr>
        <w:jc w:val="both"/>
        <w:rPr>
          <w:rFonts w:ascii="Arial" w:hAnsi="Arial" w:cs="Arial"/>
          <w:b/>
          <w:bCs/>
        </w:rPr>
      </w:pPr>
    </w:p>
    <w:p w:rsidR="008A633A" w:rsidRPr="007248E5" w:rsidRDefault="008A633A">
      <w:pPr>
        <w:ind w:left="720"/>
        <w:jc w:val="both"/>
        <w:rPr>
          <w:rFonts w:ascii="Arial" w:hAnsi="Arial" w:cs="Arial"/>
          <w:b/>
          <w:bCs/>
        </w:rPr>
      </w:pPr>
      <w:r w:rsidRPr="007248E5">
        <w:rPr>
          <w:rFonts w:ascii="Arial" w:hAnsi="Arial" w:cs="Arial"/>
        </w:rPr>
        <w:t>The Group does not have any off balance sheet financial instruments as at the date of this announcement.</w:t>
      </w:r>
    </w:p>
    <w:p w:rsidR="008A633A" w:rsidRPr="007248E5" w:rsidRDefault="008A633A">
      <w:pPr>
        <w:jc w:val="both"/>
        <w:rPr>
          <w:rFonts w:ascii="Arial" w:hAnsi="Arial" w:cs="Arial"/>
          <w:b/>
          <w:bCs/>
        </w:rPr>
      </w:pPr>
    </w:p>
    <w:p w:rsidR="009E5315" w:rsidRPr="007248E5" w:rsidRDefault="009E5315">
      <w:pPr>
        <w:jc w:val="both"/>
        <w:rPr>
          <w:rFonts w:ascii="Arial" w:hAnsi="Arial" w:cs="Arial"/>
          <w:b/>
          <w:bCs/>
        </w:rPr>
      </w:pPr>
    </w:p>
    <w:p w:rsidR="009E5315" w:rsidRPr="007248E5" w:rsidRDefault="009E5315">
      <w:pPr>
        <w:jc w:val="both"/>
        <w:rPr>
          <w:rFonts w:ascii="Arial" w:hAnsi="Arial" w:cs="Arial"/>
          <w:b/>
          <w:bCs/>
        </w:rPr>
      </w:pPr>
    </w:p>
    <w:p w:rsidR="009E5315" w:rsidRPr="007248E5" w:rsidRDefault="009E5315">
      <w:pPr>
        <w:jc w:val="both"/>
        <w:rPr>
          <w:rFonts w:ascii="Arial" w:hAnsi="Arial" w:cs="Arial"/>
          <w:b/>
          <w:bCs/>
        </w:rPr>
      </w:pPr>
    </w:p>
    <w:p w:rsidR="009E5315" w:rsidRPr="007248E5" w:rsidRDefault="009E5315">
      <w:pPr>
        <w:jc w:val="both"/>
        <w:rPr>
          <w:rFonts w:ascii="Arial" w:hAnsi="Arial" w:cs="Arial"/>
          <w:b/>
          <w:bCs/>
        </w:rPr>
      </w:pPr>
    </w:p>
    <w:p w:rsidR="009E5315" w:rsidRPr="007248E5" w:rsidRDefault="009E5315">
      <w:pPr>
        <w:jc w:val="both"/>
        <w:rPr>
          <w:rFonts w:ascii="Arial" w:hAnsi="Arial" w:cs="Arial"/>
          <w:b/>
          <w:bCs/>
        </w:rPr>
      </w:pPr>
    </w:p>
    <w:p w:rsidR="009A54D0" w:rsidRDefault="009A54D0">
      <w:pPr>
        <w:rPr>
          <w:rFonts w:ascii="Arial" w:hAnsi="Arial" w:cs="Arial"/>
          <w:b/>
          <w:bCs/>
        </w:rPr>
      </w:pPr>
      <w:r>
        <w:rPr>
          <w:rFonts w:ascii="Arial" w:hAnsi="Arial" w:cs="Arial"/>
          <w:b/>
          <w:bCs/>
        </w:rPr>
        <w:br w:type="page"/>
      </w:r>
    </w:p>
    <w:p w:rsidR="008A633A" w:rsidRPr="007248E5" w:rsidRDefault="00637910">
      <w:pPr>
        <w:jc w:val="both"/>
        <w:rPr>
          <w:rFonts w:ascii="Arial" w:hAnsi="Arial" w:cs="Arial"/>
          <w:b/>
          <w:bCs/>
        </w:rPr>
      </w:pPr>
      <w:r w:rsidRPr="007248E5">
        <w:rPr>
          <w:rFonts w:ascii="Arial" w:hAnsi="Arial" w:cs="Arial"/>
          <w:b/>
          <w:bCs/>
        </w:rPr>
        <w:lastRenderedPageBreak/>
        <w:t>25.</w:t>
      </w:r>
      <w:r w:rsidR="008A633A" w:rsidRPr="007248E5">
        <w:rPr>
          <w:rFonts w:ascii="Arial" w:hAnsi="Arial" w:cs="Arial"/>
          <w:b/>
          <w:bCs/>
        </w:rPr>
        <w:tab/>
        <w:t>Material Litigations</w:t>
      </w:r>
    </w:p>
    <w:p w:rsidR="008A633A" w:rsidRPr="007248E5" w:rsidRDefault="008A633A">
      <w:pPr>
        <w:jc w:val="both"/>
        <w:rPr>
          <w:rFonts w:ascii="Arial" w:hAnsi="Arial" w:cs="Arial"/>
          <w:b/>
          <w:bCs/>
        </w:rPr>
      </w:pPr>
    </w:p>
    <w:p w:rsidR="00E83FBD" w:rsidRPr="007248E5" w:rsidRDefault="0021143E" w:rsidP="00E83FBD">
      <w:pPr>
        <w:tabs>
          <w:tab w:val="left" w:pos="720"/>
        </w:tabs>
        <w:ind w:left="720"/>
        <w:jc w:val="both"/>
        <w:rPr>
          <w:rFonts w:ascii="Arial" w:hAnsi="Arial" w:cs="Arial"/>
        </w:rPr>
      </w:pPr>
      <w:r w:rsidRPr="007248E5">
        <w:rPr>
          <w:rFonts w:ascii="Arial" w:hAnsi="Arial" w:cs="Arial"/>
          <w:bCs/>
        </w:rPr>
        <w:t xml:space="preserve">Other than </w:t>
      </w:r>
      <w:r w:rsidR="008671B3" w:rsidRPr="007248E5">
        <w:rPr>
          <w:rFonts w:ascii="Arial" w:hAnsi="Arial" w:cs="Arial"/>
          <w:bCs/>
        </w:rPr>
        <w:t xml:space="preserve">stated </w:t>
      </w:r>
      <w:r w:rsidRPr="007248E5">
        <w:rPr>
          <w:rFonts w:ascii="Arial" w:hAnsi="Arial" w:cs="Arial"/>
          <w:bCs/>
        </w:rPr>
        <w:t>below, t</w:t>
      </w:r>
      <w:r w:rsidR="00E83FBD" w:rsidRPr="007248E5">
        <w:rPr>
          <w:rFonts w:ascii="Arial" w:hAnsi="Arial" w:cs="Arial"/>
          <w:bCs/>
        </w:rPr>
        <w:t>here w</w:t>
      </w:r>
      <w:r w:rsidR="003A6447" w:rsidRPr="007248E5">
        <w:rPr>
          <w:rFonts w:ascii="Arial" w:hAnsi="Arial" w:cs="Arial"/>
          <w:bCs/>
        </w:rPr>
        <w:t>ere</w:t>
      </w:r>
      <w:r w:rsidR="00E83FBD" w:rsidRPr="007248E5">
        <w:rPr>
          <w:rFonts w:ascii="Arial" w:hAnsi="Arial" w:cs="Arial"/>
          <w:bCs/>
        </w:rPr>
        <w:t xml:space="preserve"> </w:t>
      </w:r>
      <w:r w:rsidR="0006630C" w:rsidRPr="007248E5">
        <w:rPr>
          <w:rFonts w:ascii="Arial" w:hAnsi="Arial" w:cs="Arial"/>
          <w:bCs/>
        </w:rPr>
        <w:t>no changes</w:t>
      </w:r>
      <w:r w:rsidR="0063787B" w:rsidRPr="007248E5">
        <w:rPr>
          <w:rFonts w:ascii="Arial" w:hAnsi="Arial" w:cs="Arial"/>
          <w:bCs/>
        </w:rPr>
        <w:t xml:space="preserve"> in </w:t>
      </w:r>
      <w:r w:rsidR="00E83FBD" w:rsidRPr="007248E5">
        <w:rPr>
          <w:rFonts w:ascii="Arial" w:hAnsi="Arial" w:cs="Arial"/>
          <w:bCs/>
        </w:rPr>
        <w:t xml:space="preserve">material litigation </w:t>
      </w:r>
      <w:r w:rsidR="0063787B" w:rsidRPr="007248E5">
        <w:rPr>
          <w:rFonts w:ascii="Arial" w:hAnsi="Arial" w:cs="Arial"/>
          <w:bCs/>
        </w:rPr>
        <w:t>since the last annual balance sheet date</w:t>
      </w:r>
      <w:r w:rsidRPr="007248E5">
        <w:rPr>
          <w:rFonts w:ascii="Arial" w:hAnsi="Arial" w:cs="Arial"/>
        </w:rPr>
        <w:t>;</w:t>
      </w:r>
    </w:p>
    <w:p w:rsidR="008141A2" w:rsidRPr="007248E5" w:rsidRDefault="008141A2" w:rsidP="00E83FBD">
      <w:pPr>
        <w:tabs>
          <w:tab w:val="left" w:pos="720"/>
        </w:tabs>
        <w:ind w:left="720"/>
        <w:jc w:val="both"/>
        <w:rPr>
          <w:rFonts w:ascii="Arial" w:hAnsi="Arial" w:cs="Arial"/>
        </w:rPr>
      </w:pP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 xml:space="preserve">HCM Engineering </w:t>
      </w:r>
      <w:proofErr w:type="spellStart"/>
      <w:r w:rsidRPr="007248E5">
        <w:rPr>
          <w:rFonts w:ascii="Arial" w:hAnsi="Arial" w:cs="Arial"/>
          <w:color w:val="000000"/>
          <w:lang w:eastAsia="zh-CN"/>
        </w:rPr>
        <w:t>Sdn</w:t>
      </w:r>
      <w:proofErr w:type="spellEnd"/>
      <w:r w:rsidRPr="007248E5">
        <w:rPr>
          <w:rFonts w:ascii="Arial" w:hAnsi="Arial" w:cs="Arial"/>
          <w:color w:val="000000"/>
          <w:lang w:eastAsia="zh-CN"/>
        </w:rPr>
        <w:t xml:space="preserve">. Bhd. (“HCM”), a wholly owned subsidiary of </w:t>
      </w:r>
      <w:proofErr w:type="spellStart"/>
      <w:r w:rsidRPr="007248E5">
        <w:rPr>
          <w:rFonts w:ascii="Arial" w:hAnsi="Arial" w:cs="Arial"/>
          <w:color w:val="000000"/>
          <w:lang w:eastAsia="zh-CN"/>
        </w:rPr>
        <w:t>Protasco</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Berhad</w:t>
      </w:r>
      <w:proofErr w:type="spellEnd"/>
      <w:r w:rsidRPr="007248E5">
        <w:rPr>
          <w:rFonts w:ascii="Arial" w:hAnsi="Arial" w:cs="Arial"/>
          <w:color w:val="000000"/>
          <w:lang w:eastAsia="zh-CN"/>
        </w:rPr>
        <w:t>, received a winding up </w:t>
      </w:r>
      <w:proofErr w:type="spellStart"/>
      <w:r w:rsidRPr="007248E5">
        <w:rPr>
          <w:rFonts w:ascii="Arial" w:hAnsi="Arial" w:cs="Arial"/>
          <w:color w:val="000000"/>
          <w:lang w:eastAsia="zh-CN"/>
        </w:rPr>
        <w:t>noticepursuant</w:t>
      </w:r>
      <w:proofErr w:type="spellEnd"/>
      <w:r w:rsidRPr="007248E5">
        <w:rPr>
          <w:rFonts w:ascii="Arial" w:hAnsi="Arial" w:cs="Arial"/>
          <w:color w:val="000000"/>
          <w:lang w:eastAsia="zh-CN"/>
        </w:rPr>
        <w:t xml:space="preserve"> to Section 218(2) of the Companies Act, 1965 on 25 October 2011 arising from two judgments in default (of appearance) which was entered against them for the sum of RM507</w:t>
      </w:r>
      <w:proofErr w:type="gramStart"/>
      <w:r w:rsidRPr="007248E5">
        <w:rPr>
          <w:rFonts w:ascii="Arial" w:hAnsi="Arial" w:cs="Arial"/>
          <w:color w:val="000000"/>
          <w:lang w:eastAsia="zh-CN"/>
        </w:rPr>
        <w:t>,661.78</w:t>
      </w:r>
      <w:proofErr w:type="gramEnd"/>
      <w:r w:rsidRPr="007248E5">
        <w:rPr>
          <w:rFonts w:ascii="Arial" w:hAnsi="Arial" w:cs="Arial"/>
          <w:color w:val="000000"/>
          <w:lang w:eastAsia="zh-CN"/>
        </w:rPr>
        <w:t xml:space="preserve"> in Shah </w:t>
      </w:r>
      <w:proofErr w:type="spellStart"/>
      <w:r w:rsidRPr="007248E5">
        <w:rPr>
          <w:rFonts w:ascii="Arial" w:hAnsi="Arial" w:cs="Arial"/>
          <w:color w:val="000000"/>
          <w:lang w:eastAsia="zh-CN"/>
        </w:rPr>
        <w:t>Alam</w:t>
      </w:r>
      <w:proofErr w:type="spellEnd"/>
      <w:r w:rsidRPr="007248E5">
        <w:rPr>
          <w:rFonts w:ascii="Arial" w:hAnsi="Arial" w:cs="Arial"/>
          <w:color w:val="000000"/>
          <w:lang w:eastAsia="zh-CN"/>
        </w:rPr>
        <w:t xml:space="preserve"> High Court Suit No: 22-1558-2010 and the sum of RM9,960,492.17 in Shah </w:t>
      </w:r>
      <w:proofErr w:type="spellStart"/>
      <w:r w:rsidRPr="007248E5">
        <w:rPr>
          <w:rFonts w:ascii="Arial" w:hAnsi="Arial" w:cs="Arial"/>
          <w:color w:val="000000"/>
          <w:lang w:eastAsia="zh-CN"/>
        </w:rPr>
        <w:t>Alam</w:t>
      </w:r>
      <w:proofErr w:type="spellEnd"/>
      <w:r w:rsidRPr="007248E5">
        <w:rPr>
          <w:rFonts w:ascii="Arial" w:hAnsi="Arial" w:cs="Arial"/>
          <w:color w:val="000000"/>
          <w:lang w:eastAsia="zh-CN"/>
        </w:rPr>
        <w:t xml:space="preserve"> High Court Suit No: 22-1559-2010 respectively. Both judgments were entered on 11 July 2011.</w:t>
      </w: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 </w:t>
      </w: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 xml:space="preserve">The </w:t>
      </w:r>
      <w:proofErr w:type="spellStart"/>
      <w:r w:rsidRPr="007248E5">
        <w:rPr>
          <w:rFonts w:ascii="Arial" w:hAnsi="Arial" w:cs="Arial"/>
          <w:color w:val="000000"/>
          <w:lang w:eastAsia="zh-CN"/>
        </w:rPr>
        <w:t>judgement</w:t>
      </w:r>
      <w:proofErr w:type="spellEnd"/>
      <w:r w:rsidRPr="007248E5">
        <w:rPr>
          <w:rFonts w:ascii="Arial" w:hAnsi="Arial" w:cs="Arial"/>
          <w:color w:val="000000"/>
          <w:lang w:eastAsia="zh-CN"/>
        </w:rPr>
        <w:t xml:space="preserve"> for RM507,661.78 is premised an alleged wrongful deductions from payments due to </w:t>
      </w:r>
      <w:proofErr w:type="spellStart"/>
      <w:r w:rsidRPr="007248E5">
        <w:rPr>
          <w:rFonts w:ascii="Arial" w:hAnsi="Arial" w:cs="Arial"/>
          <w:color w:val="000000"/>
          <w:lang w:eastAsia="zh-CN"/>
        </w:rPr>
        <w:t>Menuju</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Asas</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Sdn</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Bhd</w:t>
      </w:r>
      <w:proofErr w:type="spellEnd"/>
      <w:r w:rsidRPr="007248E5">
        <w:rPr>
          <w:rFonts w:ascii="Arial" w:hAnsi="Arial" w:cs="Arial"/>
          <w:color w:val="000000"/>
          <w:lang w:eastAsia="zh-CN"/>
        </w:rPr>
        <w:t xml:space="preserve"> in relation to “</w:t>
      </w:r>
      <w:proofErr w:type="spellStart"/>
      <w:r w:rsidRPr="007248E5">
        <w:rPr>
          <w:rFonts w:ascii="Arial" w:hAnsi="Arial" w:cs="Arial"/>
          <w:color w:val="000000"/>
          <w:lang w:eastAsia="zh-CN"/>
        </w:rPr>
        <w:t>Projek</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Pembinaan</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Kem</w:t>
      </w:r>
      <w:proofErr w:type="spellEnd"/>
      <w:r w:rsidRPr="007248E5">
        <w:rPr>
          <w:rFonts w:ascii="Arial" w:hAnsi="Arial" w:cs="Arial"/>
          <w:color w:val="000000"/>
          <w:lang w:eastAsia="zh-CN"/>
        </w:rPr>
        <w:t xml:space="preserve"> Group </w:t>
      </w:r>
      <w:proofErr w:type="spellStart"/>
      <w:r w:rsidRPr="007248E5">
        <w:rPr>
          <w:rFonts w:ascii="Arial" w:hAnsi="Arial" w:cs="Arial"/>
          <w:color w:val="000000"/>
          <w:lang w:eastAsia="zh-CN"/>
        </w:rPr>
        <w:t>Gerak</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Khas</w:t>
      </w:r>
      <w:proofErr w:type="spellEnd"/>
      <w:r w:rsidRPr="007248E5">
        <w:rPr>
          <w:rFonts w:ascii="Arial" w:hAnsi="Arial" w:cs="Arial"/>
          <w:color w:val="000000"/>
          <w:lang w:eastAsia="zh-CN"/>
        </w:rPr>
        <w:t xml:space="preserve"> - </w:t>
      </w:r>
      <w:proofErr w:type="spellStart"/>
      <w:r w:rsidRPr="007248E5">
        <w:rPr>
          <w:rFonts w:ascii="Arial" w:hAnsi="Arial" w:cs="Arial"/>
          <w:color w:val="000000"/>
          <w:lang w:eastAsia="zh-CN"/>
        </w:rPr>
        <w:t>Fasa</w:t>
      </w:r>
      <w:proofErr w:type="spellEnd"/>
      <w:r w:rsidRPr="007248E5">
        <w:rPr>
          <w:rFonts w:ascii="Arial" w:hAnsi="Arial" w:cs="Arial"/>
          <w:color w:val="000000"/>
          <w:lang w:eastAsia="zh-CN"/>
        </w:rPr>
        <w:t xml:space="preserve"> 1” in </w:t>
      </w:r>
      <w:proofErr w:type="spellStart"/>
      <w:r w:rsidRPr="007248E5">
        <w:rPr>
          <w:rFonts w:ascii="Arial" w:hAnsi="Arial" w:cs="Arial"/>
          <w:color w:val="000000"/>
          <w:lang w:eastAsia="zh-CN"/>
        </w:rPr>
        <w:t>Mersing</w:t>
      </w:r>
      <w:proofErr w:type="spellEnd"/>
      <w:r w:rsidRPr="007248E5">
        <w:rPr>
          <w:rFonts w:ascii="Arial" w:hAnsi="Arial" w:cs="Arial"/>
          <w:color w:val="000000"/>
          <w:lang w:eastAsia="zh-CN"/>
        </w:rPr>
        <w:t>, Johor.</w:t>
      </w: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 </w:t>
      </w: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 xml:space="preserve">The </w:t>
      </w:r>
      <w:proofErr w:type="spellStart"/>
      <w:r w:rsidRPr="007248E5">
        <w:rPr>
          <w:rFonts w:ascii="Arial" w:hAnsi="Arial" w:cs="Arial"/>
          <w:color w:val="000000"/>
          <w:lang w:eastAsia="zh-CN"/>
        </w:rPr>
        <w:t>judgement</w:t>
      </w:r>
      <w:proofErr w:type="spellEnd"/>
      <w:r w:rsidRPr="007248E5">
        <w:rPr>
          <w:rFonts w:ascii="Arial" w:hAnsi="Arial" w:cs="Arial"/>
          <w:color w:val="000000"/>
          <w:lang w:eastAsia="zh-CN"/>
        </w:rPr>
        <w:t xml:space="preserve"> for RM9</w:t>
      </w:r>
      <w:proofErr w:type="gramStart"/>
      <w:r w:rsidRPr="007248E5">
        <w:rPr>
          <w:rFonts w:ascii="Arial" w:hAnsi="Arial" w:cs="Arial"/>
          <w:color w:val="000000"/>
          <w:lang w:eastAsia="zh-CN"/>
        </w:rPr>
        <w:t>,960,492.17</w:t>
      </w:r>
      <w:proofErr w:type="gramEnd"/>
      <w:r w:rsidRPr="007248E5">
        <w:rPr>
          <w:rFonts w:ascii="Arial" w:hAnsi="Arial" w:cs="Arial"/>
          <w:color w:val="000000"/>
          <w:lang w:eastAsia="zh-CN"/>
        </w:rPr>
        <w:t xml:space="preserve"> is allegedly due to </w:t>
      </w:r>
      <w:proofErr w:type="spellStart"/>
      <w:r w:rsidRPr="007248E5">
        <w:rPr>
          <w:rFonts w:ascii="Arial" w:hAnsi="Arial" w:cs="Arial"/>
          <w:color w:val="000000"/>
          <w:lang w:eastAsia="zh-CN"/>
        </w:rPr>
        <w:t>Menuju</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Asas</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Sdn</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Bhd</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Mohd</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Redzuan</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Mohanan</w:t>
      </w:r>
      <w:proofErr w:type="spellEnd"/>
      <w:r w:rsidRPr="007248E5">
        <w:rPr>
          <w:rFonts w:ascii="Arial" w:hAnsi="Arial" w:cs="Arial"/>
          <w:color w:val="000000"/>
          <w:lang w:eastAsia="zh-CN"/>
        </w:rPr>
        <w:t xml:space="preserve"> bin Abdullah (t/a </w:t>
      </w:r>
      <w:proofErr w:type="spellStart"/>
      <w:r w:rsidRPr="007248E5">
        <w:rPr>
          <w:rFonts w:ascii="Arial" w:hAnsi="Arial" w:cs="Arial"/>
          <w:color w:val="000000"/>
          <w:lang w:eastAsia="zh-CN"/>
        </w:rPr>
        <w:t>Menuju</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Asas</w:t>
      </w:r>
      <w:proofErr w:type="spellEnd"/>
      <w:r w:rsidRPr="007248E5">
        <w:rPr>
          <w:rFonts w:ascii="Arial" w:hAnsi="Arial" w:cs="Arial"/>
          <w:color w:val="000000"/>
          <w:lang w:eastAsia="zh-CN"/>
        </w:rPr>
        <w:t xml:space="preserve"> Enterprise) and </w:t>
      </w:r>
      <w:proofErr w:type="spellStart"/>
      <w:r w:rsidRPr="007248E5">
        <w:rPr>
          <w:rFonts w:ascii="Arial" w:hAnsi="Arial" w:cs="Arial"/>
          <w:color w:val="000000"/>
          <w:lang w:eastAsia="zh-CN"/>
        </w:rPr>
        <w:t>Mohd</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Redzuan</w:t>
      </w:r>
      <w:proofErr w:type="spellEnd"/>
      <w:r w:rsidRPr="007248E5">
        <w:rPr>
          <w:rFonts w:ascii="Arial" w:hAnsi="Arial" w:cs="Arial"/>
          <w:color w:val="000000"/>
          <w:lang w:eastAsia="zh-CN"/>
        </w:rPr>
        <w:t xml:space="preserve"> </w:t>
      </w:r>
      <w:proofErr w:type="spellStart"/>
      <w:r w:rsidRPr="007248E5">
        <w:rPr>
          <w:rFonts w:ascii="Arial" w:hAnsi="Arial" w:cs="Arial"/>
          <w:color w:val="000000"/>
          <w:lang w:eastAsia="zh-CN"/>
        </w:rPr>
        <w:t>Mohanan</w:t>
      </w:r>
      <w:proofErr w:type="spellEnd"/>
      <w:r w:rsidRPr="007248E5">
        <w:rPr>
          <w:rFonts w:ascii="Arial" w:hAnsi="Arial" w:cs="Arial"/>
          <w:color w:val="000000"/>
          <w:lang w:eastAsia="zh-CN"/>
        </w:rPr>
        <w:t xml:space="preserve"> bin Abdullah arising from HCM pursuant to the termination of the Settlement Agreement dated 6 May 2010 entered into between the said parties and HCM.</w:t>
      </w: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 </w:t>
      </w: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HCM has engaged a firm of solicitors to set aside both the judgments and resist any attempt to file a winding up petition premised on the said judgments which HCM contend is without merit.</w:t>
      </w: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  </w:t>
      </w: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 xml:space="preserve">On 10 November 2011, HCM has successfully obtained an interim stay order pending the next hearing date of the stay and setting aside applications for both suit No: 22-1558-2010 and suit No: 22-1559-2010. On the last mention date held on 10 February 2012, the Judge has directed both parties to </w:t>
      </w:r>
      <w:proofErr w:type="spellStart"/>
      <w:r w:rsidRPr="007248E5">
        <w:rPr>
          <w:rFonts w:ascii="Arial" w:hAnsi="Arial" w:cs="Arial"/>
          <w:color w:val="000000"/>
          <w:lang w:eastAsia="zh-CN"/>
        </w:rPr>
        <w:t>finalise</w:t>
      </w:r>
      <w:proofErr w:type="spellEnd"/>
      <w:r w:rsidRPr="007248E5">
        <w:rPr>
          <w:rFonts w:ascii="Arial" w:hAnsi="Arial" w:cs="Arial"/>
          <w:color w:val="000000"/>
          <w:lang w:eastAsia="zh-CN"/>
        </w:rPr>
        <w:t xml:space="preserve"> the exchange of affidavits and to file their written submission for both HCM's stay and setting aside applications simultaneously on or before 13 March 2012. Hearing dates for both HCM's stay and setting aside applications will be fixed during the next mention date on 13 March 2012.</w:t>
      </w:r>
    </w:p>
    <w:p w:rsidR="008C352C" w:rsidRPr="007248E5" w:rsidRDefault="008C352C" w:rsidP="008C352C">
      <w:pPr>
        <w:shd w:val="clear" w:color="auto" w:fill="FFFFFF"/>
        <w:ind w:left="709"/>
        <w:jc w:val="both"/>
        <w:rPr>
          <w:rFonts w:ascii="Arial" w:hAnsi="Arial" w:cs="Arial"/>
          <w:color w:val="000000"/>
          <w:lang w:eastAsia="zh-CN"/>
        </w:rPr>
      </w:pPr>
      <w:r w:rsidRPr="007248E5">
        <w:rPr>
          <w:rFonts w:ascii="Arial" w:hAnsi="Arial" w:cs="Arial"/>
          <w:color w:val="000000"/>
          <w:lang w:eastAsia="zh-CN"/>
        </w:rPr>
        <w:t> </w:t>
      </w:r>
    </w:p>
    <w:p w:rsidR="008141A2" w:rsidRPr="007248E5" w:rsidRDefault="008141A2" w:rsidP="00E83FBD">
      <w:pPr>
        <w:tabs>
          <w:tab w:val="left" w:pos="720"/>
        </w:tabs>
        <w:ind w:left="720"/>
        <w:jc w:val="both"/>
        <w:rPr>
          <w:rFonts w:ascii="Arial" w:hAnsi="Arial" w:cs="Arial"/>
        </w:rPr>
      </w:pPr>
    </w:p>
    <w:p w:rsidR="008A633A" w:rsidRPr="007248E5" w:rsidRDefault="008A633A">
      <w:pPr>
        <w:jc w:val="both"/>
        <w:rPr>
          <w:rFonts w:ascii="Arial" w:hAnsi="Arial" w:cs="Arial"/>
          <w:b/>
          <w:bCs/>
        </w:rPr>
      </w:pPr>
    </w:p>
    <w:p w:rsidR="008A633A" w:rsidRPr="007248E5" w:rsidRDefault="00637910">
      <w:pPr>
        <w:jc w:val="both"/>
        <w:rPr>
          <w:rFonts w:ascii="Arial" w:hAnsi="Arial" w:cs="Arial"/>
          <w:b/>
          <w:bCs/>
        </w:rPr>
      </w:pPr>
      <w:r w:rsidRPr="007248E5">
        <w:rPr>
          <w:rFonts w:ascii="Arial" w:hAnsi="Arial" w:cs="Arial"/>
          <w:b/>
          <w:bCs/>
        </w:rPr>
        <w:t>26</w:t>
      </w:r>
      <w:r w:rsidR="008A633A" w:rsidRPr="007248E5">
        <w:rPr>
          <w:rFonts w:ascii="Arial" w:hAnsi="Arial" w:cs="Arial"/>
          <w:b/>
          <w:bCs/>
        </w:rPr>
        <w:t>.</w:t>
      </w:r>
      <w:r w:rsidR="008A633A" w:rsidRPr="007248E5">
        <w:rPr>
          <w:rFonts w:ascii="Arial" w:hAnsi="Arial" w:cs="Arial"/>
          <w:b/>
          <w:bCs/>
        </w:rPr>
        <w:tab/>
        <w:t>Earning Per Share</w:t>
      </w:r>
    </w:p>
    <w:p w:rsidR="008A633A" w:rsidRPr="007248E5" w:rsidRDefault="008A633A">
      <w:pPr>
        <w:pStyle w:val="BodyTextIndent2"/>
        <w:ind w:left="0" w:firstLine="0"/>
        <w:rPr>
          <w:rFonts w:cs="Arial"/>
          <w:b/>
          <w:sz w:val="20"/>
        </w:rPr>
      </w:pPr>
      <w:r w:rsidRPr="007248E5">
        <w:rPr>
          <w:rFonts w:cs="Arial"/>
          <w:b/>
          <w:sz w:val="20"/>
        </w:rPr>
        <w:tab/>
      </w:r>
    </w:p>
    <w:tbl>
      <w:tblPr>
        <w:tblW w:w="8381" w:type="dxa"/>
        <w:tblInd w:w="817" w:type="dxa"/>
        <w:tblLayout w:type="fixed"/>
        <w:tblLook w:val="0000"/>
      </w:tblPr>
      <w:tblGrid>
        <w:gridCol w:w="5321"/>
        <w:gridCol w:w="1530"/>
        <w:gridCol w:w="1530"/>
      </w:tblGrid>
      <w:tr w:rsidR="00C8092E" w:rsidRPr="007248E5" w:rsidTr="00C04286">
        <w:trPr>
          <w:trHeight w:val="746"/>
        </w:trPr>
        <w:tc>
          <w:tcPr>
            <w:tcW w:w="5321" w:type="dxa"/>
          </w:tcPr>
          <w:p w:rsidR="00C8092E" w:rsidRPr="007248E5" w:rsidRDefault="00C8092E">
            <w:pPr>
              <w:pStyle w:val="BodyTextIndent2"/>
              <w:ind w:left="0" w:firstLine="0"/>
              <w:rPr>
                <w:rFonts w:cs="Arial"/>
                <w:b/>
                <w:sz w:val="20"/>
              </w:rPr>
            </w:pPr>
            <w:r w:rsidRPr="007248E5">
              <w:rPr>
                <w:rFonts w:cs="Arial"/>
                <w:b/>
                <w:sz w:val="20"/>
              </w:rPr>
              <w:t>Basic</w:t>
            </w:r>
          </w:p>
          <w:p w:rsidR="00C8092E" w:rsidRPr="007248E5" w:rsidRDefault="00C8092E">
            <w:pPr>
              <w:rPr>
                <w:rFonts w:ascii="Arial" w:hAnsi="Arial" w:cs="Arial"/>
              </w:rPr>
            </w:pPr>
          </w:p>
          <w:p w:rsidR="00C8092E" w:rsidRPr="007248E5" w:rsidRDefault="00C8092E">
            <w:pPr>
              <w:tabs>
                <w:tab w:val="left" w:pos="3126"/>
              </w:tabs>
              <w:rPr>
                <w:rFonts w:ascii="Arial" w:hAnsi="Arial" w:cs="Arial"/>
              </w:rPr>
            </w:pPr>
            <w:r w:rsidRPr="007248E5">
              <w:rPr>
                <w:rFonts w:ascii="Arial" w:hAnsi="Arial" w:cs="Arial"/>
              </w:rPr>
              <w:tab/>
            </w:r>
          </w:p>
        </w:tc>
        <w:tc>
          <w:tcPr>
            <w:tcW w:w="1530" w:type="dxa"/>
          </w:tcPr>
          <w:p w:rsidR="00C8092E" w:rsidRPr="007248E5" w:rsidRDefault="00C8092E" w:rsidP="00B05780">
            <w:pPr>
              <w:pStyle w:val="BodyTextIndent2"/>
              <w:ind w:left="0" w:firstLine="0"/>
              <w:jc w:val="right"/>
              <w:rPr>
                <w:rFonts w:cs="Arial"/>
                <w:bCs/>
                <w:sz w:val="20"/>
                <w:u w:val="single"/>
              </w:rPr>
            </w:pPr>
            <w:r w:rsidRPr="007248E5">
              <w:rPr>
                <w:rFonts w:cs="Arial"/>
                <w:bCs/>
                <w:sz w:val="20"/>
                <w:u w:val="single"/>
              </w:rPr>
              <w:t>3 months</w:t>
            </w:r>
          </w:p>
          <w:p w:rsidR="00C8092E" w:rsidRPr="007248E5" w:rsidRDefault="00C8092E" w:rsidP="00B05780">
            <w:pPr>
              <w:pStyle w:val="BodyTextIndent2"/>
              <w:ind w:left="0" w:firstLine="0"/>
              <w:jc w:val="right"/>
              <w:rPr>
                <w:rFonts w:cs="Arial"/>
                <w:bCs/>
                <w:sz w:val="20"/>
                <w:u w:val="single"/>
              </w:rPr>
            </w:pPr>
            <w:r w:rsidRPr="007248E5">
              <w:rPr>
                <w:rFonts w:cs="Arial"/>
                <w:bCs/>
                <w:sz w:val="20"/>
                <w:u w:val="single"/>
              </w:rPr>
              <w:t>ended</w:t>
            </w:r>
          </w:p>
          <w:p w:rsidR="00C8092E" w:rsidRPr="007248E5" w:rsidRDefault="00B724D9" w:rsidP="009E5315">
            <w:pPr>
              <w:pStyle w:val="BodyTextIndent2"/>
              <w:ind w:left="0" w:firstLine="0"/>
              <w:jc w:val="right"/>
              <w:rPr>
                <w:rFonts w:cs="Arial"/>
                <w:bCs/>
                <w:sz w:val="20"/>
              </w:rPr>
            </w:pPr>
            <w:r w:rsidRPr="007248E5">
              <w:rPr>
                <w:rFonts w:cs="Arial"/>
                <w:bCs/>
                <w:sz w:val="20"/>
              </w:rPr>
              <w:t>3</w:t>
            </w:r>
            <w:r w:rsidR="009E5315" w:rsidRPr="007248E5">
              <w:rPr>
                <w:rFonts w:cs="Arial"/>
                <w:bCs/>
                <w:sz w:val="20"/>
              </w:rPr>
              <w:t>1.12</w:t>
            </w:r>
            <w:r w:rsidR="00C8092E" w:rsidRPr="007248E5">
              <w:rPr>
                <w:rFonts w:cs="Arial"/>
                <w:bCs/>
                <w:sz w:val="20"/>
              </w:rPr>
              <w:t>.20</w:t>
            </w:r>
            <w:r w:rsidR="00130357" w:rsidRPr="007248E5">
              <w:rPr>
                <w:rFonts w:cs="Arial"/>
                <w:bCs/>
                <w:sz w:val="20"/>
              </w:rPr>
              <w:t>11</w:t>
            </w:r>
          </w:p>
        </w:tc>
        <w:tc>
          <w:tcPr>
            <w:tcW w:w="1530" w:type="dxa"/>
          </w:tcPr>
          <w:p w:rsidR="00E40A98" w:rsidRPr="007248E5" w:rsidRDefault="009E5315" w:rsidP="00C04286">
            <w:pPr>
              <w:pStyle w:val="BodyTextIndent2"/>
              <w:ind w:left="0" w:firstLine="0"/>
              <w:jc w:val="right"/>
              <w:rPr>
                <w:rFonts w:cs="Arial"/>
                <w:bCs/>
                <w:sz w:val="20"/>
                <w:u w:val="single"/>
              </w:rPr>
            </w:pPr>
            <w:r w:rsidRPr="007248E5">
              <w:rPr>
                <w:rFonts w:cs="Arial"/>
                <w:bCs/>
                <w:sz w:val="20"/>
                <w:u w:val="single"/>
              </w:rPr>
              <w:t>12</w:t>
            </w:r>
            <w:r w:rsidR="00E40A98" w:rsidRPr="007248E5">
              <w:rPr>
                <w:rFonts w:cs="Arial"/>
                <w:bCs/>
                <w:sz w:val="20"/>
                <w:u w:val="single"/>
              </w:rPr>
              <w:t xml:space="preserve"> months</w:t>
            </w:r>
          </w:p>
          <w:p w:rsidR="00E40A98" w:rsidRPr="007248E5" w:rsidRDefault="00E40A98" w:rsidP="00C04286">
            <w:pPr>
              <w:pStyle w:val="BodyTextIndent2"/>
              <w:ind w:left="0" w:firstLine="0"/>
              <w:jc w:val="right"/>
              <w:rPr>
                <w:rFonts w:cs="Arial"/>
                <w:bCs/>
                <w:sz w:val="20"/>
                <w:u w:val="single"/>
              </w:rPr>
            </w:pPr>
            <w:r w:rsidRPr="007248E5">
              <w:rPr>
                <w:rFonts w:cs="Arial"/>
                <w:bCs/>
                <w:sz w:val="20"/>
                <w:u w:val="single"/>
              </w:rPr>
              <w:t>ended</w:t>
            </w:r>
          </w:p>
          <w:p w:rsidR="00C8092E" w:rsidRPr="007248E5" w:rsidRDefault="00E40A98" w:rsidP="009E5315">
            <w:pPr>
              <w:pStyle w:val="BodyTextIndent2"/>
              <w:ind w:left="0" w:firstLine="0"/>
              <w:jc w:val="right"/>
              <w:rPr>
                <w:rFonts w:cs="Arial"/>
                <w:bCs/>
                <w:sz w:val="20"/>
              </w:rPr>
            </w:pPr>
            <w:r w:rsidRPr="007248E5">
              <w:rPr>
                <w:rFonts w:cs="Arial"/>
                <w:bCs/>
                <w:sz w:val="20"/>
              </w:rPr>
              <w:t>3</w:t>
            </w:r>
            <w:r w:rsidR="009E5315" w:rsidRPr="007248E5">
              <w:rPr>
                <w:rFonts w:cs="Arial"/>
                <w:bCs/>
                <w:sz w:val="20"/>
              </w:rPr>
              <w:t>1.12</w:t>
            </w:r>
            <w:r w:rsidRPr="007248E5">
              <w:rPr>
                <w:rFonts w:cs="Arial"/>
                <w:bCs/>
                <w:sz w:val="20"/>
              </w:rPr>
              <w:t>.2011</w:t>
            </w:r>
          </w:p>
        </w:tc>
      </w:tr>
      <w:tr w:rsidR="00E40A98" w:rsidRPr="007248E5" w:rsidTr="00C04286">
        <w:tc>
          <w:tcPr>
            <w:tcW w:w="5321" w:type="dxa"/>
          </w:tcPr>
          <w:p w:rsidR="00E40A98" w:rsidRPr="007248E5" w:rsidRDefault="00E40A98">
            <w:pPr>
              <w:pStyle w:val="BodyTextIndent2"/>
              <w:ind w:left="0" w:firstLine="0"/>
              <w:rPr>
                <w:rFonts w:cs="Arial"/>
                <w:b/>
                <w:sz w:val="20"/>
              </w:rPr>
            </w:pPr>
          </w:p>
        </w:tc>
        <w:tc>
          <w:tcPr>
            <w:tcW w:w="1530" w:type="dxa"/>
          </w:tcPr>
          <w:p w:rsidR="00E40A98" w:rsidRPr="007248E5" w:rsidRDefault="00E40A98" w:rsidP="00B05780">
            <w:pPr>
              <w:pStyle w:val="BodyTextIndent2"/>
              <w:ind w:left="0" w:firstLine="0"/>
              <w:jc w:val="right"/>
              <w:rPr>
                <w:rFonts w:cs="Arial"/>
                <w:bCs/>
                <w:sz w:val="20"/>
              </w:rPr>
            </w:pPr>
            <w:r w:rsidRPr="007248E5">
              <w:rPr>
                <w:rFonts w:cs="Arial"/>
                <w:bCs/>
                <w:sz w:val="20"/>
              </w:rPr>
              <w:t>RM’000</w:t>
            </w:r>
          </w:p>
        </w:tc>
        <w:tc>
          <w:tcPr>
            <w:tcW w:w="1530" w:type="dxa"/>
          </w:tcPr>
          <w:p w:rsidR="00E40A98" w:rsidRPr="007248E5" w:rsidRDefault="00E40A98" w:rsidP="00C04286">
            <w:pPr>
              <w:pStyle w:val="BodyTextIndent2"/>
              <w:ind w:left="0" w:firstLine="0"/>
              <w:jc w:val="right"/>
              <w:rPr>
                <w:rFonts w:cs="Arial"/>
                <w:bCs/>
                <w:sz w:val="20"/>
              </w:rPr>
            </w:pPr>
            <w:r w:rsidRPr="007248E5">
              <w:rPr>
                <w:rFonts w:cs="Arial"/>
                <w:bCs/>
                <w:sz w:val="20"/>
              </w:rPr>
              <w:t>RM’000</w:t>
            </w:r>
          </w:p>
        </w:tc>
      </w:tr>
      <w:tr w:rsidR="00E40A98" w:rsidRPr="007248E5" w:rsidTr="00C04286">
        <w:tc>
          <w:tcPr>
            <w:tcW w:w="5321" w:type="dxa"/>
          </w:tcPr>
          <w:p w:rsidR="00E40A98" w:rsidRPr="007248E5" w:rsidRDefault="00E40A98">
            <w:pPr>
              <w:pStyle w:val="BodyTextIndent2"/>
              <w:ind w:left="0" w:firstLine="0"/>
              <w:rPr>
                <w:rFonts w:cs="Arial"/>
                <w:sz w:val="20"/>
              </w:rPr>
            </w:pPr>
            <w:r w:rsidRPr="007248E5">
              <w:rPr>
                <w:rFonts w:cs="Arial"/>
                <w:sz w:val="20"/>
              </w:rPr>
              <w:t xml:space="preserve">Net profit for the period </w:t>
            </w:r>
          </w:p>
        </w:tc>
        <w:tc>
          <w:tcPr>
            <w:tcW w:w="1530" w:type="dxa"/>
          </w:tcPr>
          <w:p w:rsidR="00E40A98" w:rsidRPr="007248E5" w:rsidRDefault="008141A2" w:rsidP="008141A2">
            <w:pPr>
              <w:pStyle w:val="BodyTextIndent2"/>
              <w:ind w:left="0" w:firstLine="0"/>
              <w:jc w:val="right"/>
              <w:rPr>
                <w:rFonts w:cs="Arial"/>
                <w:bCs/>
                <w:sz w:val="20"/>
              </w:rPr>
            </w:pPr>
            <w:r w:rsidRPr="007248E5">
              <w:rPr>
                <w:rFonts w:cs="Arial"/>
                <w:bCs/>
                <w:sz w:val="20"/>
              </w:rPr>
              <w:t>11</w:t>
            </w:r>
            <w:r w:rsidR="00956ECC" w:rsidRPr="007248E5">
              <w:rPr>
                <w:rFonts w:cs="Arial"/>
                <w:bCs/>
                <w:sz w:val="20"/>
              </w:rPr>
              <w:t>,</w:t>
            </w:r>
            <w:r w:rsidRPr="007248E5">
              <w:rPr>
                <w:rFonts w:cs="Arial"/>
                <w:bCs/>
                <w:sz w:val="20"/>
              </w:rPr>
              <w:t>6</w:t>
            </w:r>
            <w:r w:rsidR="00956ECC" w:rsidRPr="007248E5">
              <w:rPr>
                <w:rFonts w:cs="Arial"/>
                <w:bCs/>
                <w:sz w:val="20"/>
              </w:rPr>
              <w:t>36</w:t>
            </w:r>
          </w:p>
        </w:tc>
        <w:tc>
          <w:tcPr>
            <w:tcW w:w="1530" w:type="dxa"/>
          </w:tcPr>
          <w:p w:rsidR="00E40A98" w:rsidRPr="007248E5" w:rsidRDefault="00956ECC" w:rsidP="00956ECC">
            <w:pPr>
              <w:pStyle w:val="BodyTextIndent2"/>
              <w:ind w:left="0" w:firstLine="0"/>
              <w:jc w:val="right"/>
              <w:rPr>
                <w:rFonts w:cs="Arial"/>
                <w:bCs/>
                <w:sz w:val="20"/>
              </w:rPr>
            </w:pPr>
            <w:r w:rsidRPr="007248E5">
              <w:rPr>
                <w:rFonts w:cs="Arial"/>
                <w:bCs/>
                <w:sz w:val="20"/>
              </w:rPr>
              <w:t>3</w:t>
            </w:r>
            <w:r w:rsidR="009222F1" w:rsidRPr="007248E5">
              <w:rPr>
                <w:rFonts w:cs="Arial"/>
                <w:bCs/>
                <w:sz w:val="20"/>
              </w:rPr>
              <w:t>1</w:t>
            </w:r>
            <w:r w:rsidR="00E40A98" w:rsidRPr="007248E5">
              <w:rPr>
                <w:rFonts w:cs="Arial"/>
                <w:bCs/>
                <w:sz w:val="20"/>
              </w:rPr>
              <w:t>,</w:t>
            </w:r>
            <w:r w:rsidRPr="007248E5">
              <w:rPr>
                <w:rFonts w:cs="Arial"/>
                <w:bCs/>
                <w:sz w:val="20"/>
              </w:rPr>
              <w:t>181</w:t>
            </w:r>
          </w:p>
        </w:tc>
      </w:tr>
      <w:tr w:rsidR="00E40A98" w:rsidRPr="007248E5" w:rsidTr="00C04286">
        <w:tc>
          <w:tcPr>
            <w:tcW w:w="5321" w:type="dxa"/>
          </w:tcPr>
          <w:p w:rsidR="00E40A98" w:rsidRPr="007248E5" w:rsidRDefault="00E40A98">
            <w:pPr>
              <w:pStyle w:val="BodyTextIndent2"/>
              <w:ind w:left="0" w:firstLine="0"/>
              <w:rPr>
                <w:rFonts w:cs="Arial"/>
                <w:sz w:val="20"/>
              </w:rPr>
            </w:pPr>
            <w:r w:rsidRPr="007248E5">
              <w:rPr>
                <w:rFonts w:cs="Arial"/>
                <w:sz w:val="20"/>
              </w:rPr>
              <w:t>Weighted average number of ordinary shares in issue</w:t>
            </w:r>
          </w:p>
        </w:tc>
        <w:tc>
          <w:tcPr>
            <w:tcW w:w="1530" w:type="dxa"/>
          </w:tcPr>
          <w:p w:rsidR="00E40A98" w:rsidRPr="007248E5" w:rsidRDefault="00E40A98" w:rsidP="008141A2">
            <w:pPr>
              <w:pStyle w:val="BodyTextIndent2"/>
              <w:ind w:left="0" w:firstLine="0"/>
              <w:jc w:val="right"/>
              <w:rPr>
                <w:rFonts w:cs="Arial"/>
                <w:bCs/>
                <w:sz w:val="20"/>
              </w:rPr>
            </w:pPr>
            <w:r w:rsidRPr="007248E5">
              <w:rPr>
                <w:rFonts w:cs="Arial"/>
                <w:bCs/>
                <w:sz w:val="20"/>
              </w:rPr>
              <w:t>296,66</w:t>
            </w:r>
            <w:r w:rsidR="008141A2" w:rsidRPr="007248E5">
              <w:rPr>
                <w:rFonts w:cs="Arial"/>
                <w:bCs/>
                <w:sz w:val="20"/>
              </w:rPr>
              <w:t>6</w:t>
            </w:r>
          </w:p>
        </w:tc>
        <w:tc>
          <w:tcPr>
            <w:tcW w:w="1530" w:type="dxa"/>
          </w:tcPr>
          <w:p w:rsidR="00E40A98" w:rsidRPr="007248E5" w:rsidRDefault="00E40A98" w:rsidP="00964223">
            <w:pPr>
              <w:pStyle w:val="BodyTextIndent2"/>
              <w:ind w:left="0" w:firstLine="0"/>
              <w:jc w:val="right"/>
              <w:rPr>
                <w:rFonts w:cs="Arial"/>
                <w:bCs/>
                <w:sz w:val="20"/>
              </w:rPr>
            </w:pPr>
            <w:r w:rsidRPr="007248E5">
              <w:rPr>
                <w:rFonts w:cs="Arial"/>
                <w:bCs/>
                <w:sz w:val="20"/>
              </w:rPr>
              <w:t>296,66</w:t>
            </w:r>
            <w:r w:rsidR="00964223" w:rsidRPr="007248E5">
              <w:rPr>
                <w:rFonts w:cs="Arial"/>
                <w:bCs/>
                <w:sz w:val="20"/>
              </w:rPr>
              <w:t>6</w:t>
            </w:r>
          </w:p>
        </w:tc>
      </w:tr>
      <w:tr w:rsidR="00E40A98" w:rsidRPr="007248E5" w:rsidTr="00C04286">
        <w:trPr>
          <w:trHeight w:val="279"/>
        </w:trPr>
        <w:tc>
          <w:tcPr>
            <w:tcW w:w="5321" w:type="dxa"/>
          </w:tcPr>
          <w:p w:rsidR="00E40A98" w:rsidRPr="007248E5" w:rsidRDefault="00E40A98">
            <w:pPr>
              <w:pStyle w:val="BodyTextIndent2"/>
              <w:ind w:left="0" w:firstLine="0"/>
              <w:rPr>
                <w:rFonts w:cs="Arial"/>
                <w:sz w:val="20"/>
              </w:rPr>
            </w:pPr>
            <w:r w:rsidRPr="007248E5">
              <w:rPr>
                <w:rFonts w:cs="Arial"/>
                <w:sz w:val="20"/>
              </w:rPr>
              <w:t>Basic earnings per ordinary share (</w:t>
            </w:r>
            <w:proofErr w:type="spellStart"/>
            <w:r w:rsidRPr="007248E5">
              <w:rPr>
                <w:rFonts w:cs="Arial"/>
                <w:sz w:val="20"/>
              </w:rPr>
              <w:t>sen</w:t>
            </w:r>
            <w:proofErr w:type="spellEnd"/>
            <w:r w:rsidRPr="007248E5">
              <w:rPr>
                <w:rFonts w:cs="Arial"/>
                <w:sz w:val="20"/>
              </w:rPr>
              <w:t>)</w:t>
            </w:r>
          </w:p>
        </w:tc>
        <w:tc>
          <w:tcPr>
            <w:tcW w:w="1530" w:type="dxa"/>
          </w:tcPr>
          <w:p w:rsidR="00E40A98" w:rsidRPr="007248E5" w:rsidRDefault="00964223" w:rsidP="00964223">
            <w:pPr>
              <w:pStyle w:val="BodyTextIndent2"/>
              <w:ind w:left="0" w:firstLine="0"/>
              <w:jc w:val="right"/>
              <w:rPr>
                <w:rFonts w:cs="Arial"/>
                <w:bCs/>
                <w:sz w:val="20"/>
              </w:rPr>
            </w:pPr>
            <w:r w:rsidRPr="007248E5">
              <w:rPr>
                <w:rFonts w:cs="Arial"/>
                <w:bCs/>
                <w:sz w:val="20"/>
              </w:rPr>
              <w:t>3</w:t>
            </w:r>
            <w:r w:rsidR="008141A2" w:rsidRPr="007248E5">
              <w:rPr>
                <w:rFonts w:cs="Arial"/>
                <w:bCs/>
                <w:sz w:val="20"/>
              </w:rPr>
              <w:t>.</w:t>
            </w:r>
            <w:r w:rsidRPr="007248E5">
              <w:rPr>
                <w:rFonts w:cs="Arial"/>
                <w:bCs/>
                <w:sz w:val="20"/>
              </w:rPr>
              <w:t>92</w:t>
            </w:r>
          </w:p>
        </w:tc>
        <w:tc>
          <w:tcPr>
            <w:tcW w:w="1530" w:type="dxa"/>
          </w:tcPr>
          <w:p w:rsidR="00E40A98" w:rsidRPr="007248E5" w:rsidRDefault="00964223" w:rsidP="00964223">
            <w:pPr>
              <w:pStyle w:val="BodyTextIndent2"/>
              <w:ind w:left="0" w:firstLine="0"/>
              <w:jc w:val="right"/>
              <w:rPr>
                <w:rFonts w:cs="Arial"/>
                <w:bCs/>
                <w:sz w:val="20"/>
              </w:rPr>
            </w:pPr>
            <w:r w:rsidRPr="007248E5">
              <w:rPr>
                <w:rFonts w:cs="Arial"/>
                <w:bCs/>
                <w:sz w:val="20"/>
              </w:rPr>
              <w:t>10</w:t>
            </w:r>
            <w:r w:rsidR="00E40A98" w:rsidRPr="007248E5">
              <w:rPr>
                <w:rFonts w:cs="Arial"/>
                <w:bCs/>
                <w:sz w:val="20"/>
              </w:rPr>
              <w:t>.</w:t>
            </w:r>
            <w:r w:rsidR="009222F1" w:rsidRPr="007248E5">
              <w:rPr>
                <w:rFonts w:cs="Arial"/>
                <w:bCs/>
                <w:sz w:val="20"/>
              </w:rPr>
              <w:t>5</w:t>
            </w:r>
            <w:r w:rsidRPr="007248E5">
              <w:rPr>
                <w:rFonts w:cs="Arial"/>
                <w:bCs/>
                <w:sz w:val="20"/>
              </w:rPr>
              <w:t>1</w:t>
            </w:r>
          </w:p>
        </w:tc>
      </w:tr>
    </w:tbl>
    <w:p w:rsidR="008A633A" w:rsidRPr="007248E5" w:rsidRDefault="008A633A">
      <w:pPr>
        <w:jc w:val="both"/>
        <w:rPr>
          <w:rFonts w:ascii="Arial" w:hAnsi="Arial" w:cs="Arial"/>
          <w:b/>
          <w:bCs/>
        </w:rPr>
      </w:pPr>
    </w:p>
    <w:p w:rsidR="00E40A98" w:rsidRPr="007248E5" w:rsidRDefault="00E40A98">
      <w:pPr>
        <w:jc w:val="both"/>
        <w:rPr>
          <w:rFonts w:ascii="Arial" w:hAnsi="Arial" w:cs="Arial"/>
          <w:b/>
          <w:bCs/>
        </w:rPr>
      </w:pPr>
    </w:p>
    <w:p w:rsidR="008141A2" w:rsidRPr="007248E5" w:rsidRDefault="008141A2">
      <w:pPr>
        <w:jc w:val="both"/>
        <w:rPr>
          <w:rFonts w:ascii="Arial" w:hAnsi="Arial" w:cs="Arial"/>
          <w:b/>
          <w:bCs/>
        </w:rPr>
      </w:pPr>
    </w:p>
    <w:p w:rsidR="00E40A98" w:rsidRPr="007248E5" w:rsidRDefault="008141A2">
      <w:pPr>
        <w:jc w:val="both"/>
        <w:rPr>
          <w:rFonts w:ascii="Arial" w:hAnsi="Arial" w:cs="Arial"/>
          <w:b/>
          <w:bCs/>
        </w:rPr>
      </w:pPr>
      <w:r w:rsidRPr="007248E5">
        <w:rPr>
          <w:rFonts w:ascii="Arial" w:hAnsi="Arial" w:cs="Arial"/>
          <w:b/>
          <w:bCs/>
        </w:rPr>
        <w:br w:type="page"/>
      </w:r>
    </w:p>
    <w:p w:rsidR="0050230C" w:rsidRPr="007248E5" w:rsidRDefault="00637910" w:rsidP="0050230C">
      <w:pPr>
        <w:jc w:val="both"/>
        <w:rPr>
          <w:rFonts w:ascii="Arial" w:hAnsi="Arial" w:cs="Arial"/>
          <w:b/>
          <w:bCs/>
        </w:rPr>
      </w:pPr>
      <w:r w:rsidRPr="007248E5">
        <w:rPr>
          <w:rFonts w:ascii="Arial" w:hAnsi="Arial" w:cs="Arial"/>
          <w:b/>
          <w:bCs/>
        </w:rPr>
        <w:lastRenderedPageBreak/>
        <w:t>27</w:t>
      </w:r>
      <w:r w:rsidR="008A633A" w:rsidRPr="007248E5">
        <w:rPr>
          <w:rFonts w:ascii="Arial" w:hAnsi="Arial" w:cs="Arial"/>
          <w:b/>
          <w:bCs/>
        </w:rPr>
        <w:t>.</w:t>
      </w:r>
      <w:r w:rsidR="008A633A" w:rsidRPr="007248E5">
        <w:rPr>
          <w:rFonts w:ascii="Arial" w:hAnsi="Arial" w:cs="Arial"/>
          <w:b/>
          <w:bCs/>
        </w:rPr>
        <w:tab/>
      </w:r>
      <w:proofErr w:type="spellStart"/>
      <w:r w:rsidR="0050230C" w:rsidRPr="007248E5">
        <w:rPr>
          <w:rFonts w:ascii="Arial" w:hAnsi="Arial" w:cs="Arial"/>
          <w:b/>
          <w:bCs/>
        </w:rPr>
        <w:t>Realised</w:t>
      </w:r>
      <w:proofErr w:type="spellEnd"/>
      <w:r w:rsidR="0050230C" w:rsidRPr="007248E5">
        <w:rPr>
          <w:rFonts w:ascii="Arial" w:hAnsi="Arial" w:cs="Arial"/>
          <w:b/>
          <w:bCs/>
        </w:rPr>
        <w:t xml:space="preserve"> and </w:t>
      </w:r>
      <w:proofErr w:type="spellStart"/>
      <w:r w:rsidR="0050230C" w:rsidRPr="007248E5">
        <w:rPr>
          <w:rFonts w:ascii="Arial" w:hAnsi="Arial" w:cs="Arial"/>
          <w:b/>
          <w:bCs/>
        </w:rPr>
        <w:t>unrealised</w:t>
      </w:r>
      <w:proofErr w:type="spellEnd"/>
      <w:r w:rsidR="0050230C" w:rsidRPr="007248E5">
        <w:rPr>
          <w:rFonts w:ascii="Arial" w:hAnsi="Arial" w:cs="Arial"/>
          <w:b/>
          <w:bCs/>
        </w:rPr>
        <w:t xml:space="preserve"> profit/losses disclosure</w:t>
      </w:r>
      <w:r w:rsidR="0050230C" w:rsidRPr="007248E5">
        <w:rPr>
          <w:rFonts w:ascii="Arial" w:hAnsi="Arial" w:cs="Arial"/>
          <w:b/>
          <w:bCs/>
        </w:rPr>
        <w:tab/>
      </w:r>
    </w:p>
    <w:p w:rsidR="0050230C" w:rsidRPr="007248E5" w:rsidRDefault="0050230C" w:rsidP="0050230C">
      <w:pPr>
        <w:jc w:val="both"/>
        <w:rPr>
          <w:rFonts w:ascii="Arial" w:hAnsi="Arial" w:cs="Arial"/>
          <w:b/>
          <w:bCs/>
        </w:rPr>
      </w:pPr>
    </w:p>
    <w:p w:rsidR="0050230C" w:rsidRPr="007248E5" w:rsidRDefault="0050230C" w:rsidP="0050230C">
      <w:pPr>
        <w:ind w:left="720"/>
        <w:jc w:val="both"/>
        <w:rPr>
          <w:rFonts w:ascii="Arial" w:hAnsi="Arial" w:cs="Arial"/>
          <w:bCs/>
        </w:rPr>
      </w:pPr>
      <w:r w:rsidRPr="007248E5">
        <w:rPr>
          <w:rFonts w:ascii="Arial" w:hAnsi="Arial" w:cs="Arial"/>
          <w:bCs/>
        </w:rPr>
        <w:t xml:space="preserve">On 25 March 2010, Bursa Malaysia </w:t>
      </w:r>
      <w:proofErr w:type="spellStart"/>
      <w:r w:rsidRPr="007248E5">
        <w:rPr>
          <w:rFonts w:ascii="Arial" w:hAnsi="Arial" w:cs="Arial"/>
          <w:bCs/>
        </w:rPr>
        <w:t>Securites</w:t>
      </w:r>
      <w:proofErr w:type="spellEnd"/>
      <w:r w:rsidRPr="007248E5">
        <w:rPr>
          <w:rFonts w:ascii="Arial" w:hAnsi="Arial" w:cs="Arial"/>
          <w:bCs/>
        </w:rPr>
        <w:t xml:space="preserve"> (“Bursa Securities”) had issued directive to all listed issuers </w:t>
      </w:r>
      <w:r w:rsidR="00AB0DE9" w:rsidRPr="007248E5">
        <w:rPr>
          <w:rFonts w:ascii="Arial" w:hAnsi="Arial" w:cs="Arial"/>
          <w:bCs/>
        </w:rPr>
        <w:t xml:space="preserve">to disclose a breakdown of the </w:t>
      </w:r>
      <w:proofErr w:type="spellStart"/>
      <w:r w:rsidR="00AB0DE9" w:rsidRPr="007248E5">
        <w:rPr>
          <w:rFonts w:ascii="Arial" w:hAnsi="Arial" w:cs="Arial"/>
          <w:bCs/>
        </w:rPr>
        <w:t>u</w:t>
      </w:r>
      <w:r w:rsidRPr="007248E5">
        <w:rPr>
          <w:rFonts w:ascii="Arial" w:hAnsi="Arial" w:cs="Arial"/>
          <w:bCs/>
        </w:rPr>
        <w:t>nappropriate</w:t>
      </w:r>
      <w:proofErr w:type="spellEnd"/>
      <w:r w:rsidRPr="007248E5">
        <w:rPr>
          <w:rFonts w:ascii="Arial" w:hAnsi="Arial" w:cs="Arial"/>
          <w:bCs/>
        </w:rPr>
        <w:t xml:space="preserve"> profits or losses into </w:t>
      </w:r>
      <w:proofErr w:type="spellStart"/>
      <w:r w:rsidRPr="007248E5">
        <w:rPr>
          <w:rFonts w:ascii="Arial" w:hAnsi="Arial" w:cs="Arial"/>
          <w:bCs/>
        </w:rPr>
        <w:t>realised</w:t>
      </w:r>
      <w:proofErr w:type="spellEnd"/>
      <w:r w:rsidRPr="007248E5">
        <w:rPr>
          <w:rFonts w:ascii="Arial" w:hAnsi="Arial" w:cs="Arial"/>
          <w:bCs/>
        </w:rPr>
        <w:t xml:space="preserve"> and </w:t>
      </w:r>
      <w:proofErr w:type="spellStart"/>
      <w:r w:rsidRPr="007248E5">
        <w:rPr>
          <w:rFonts w:ascii="Arial" w:hAnsi="Arial" w:cs="Arial"/>
          <w:bCs/>
        </w:rPr>
        <w:t>unrealised</w:t>
      </w:r>
      <w:proofErr w:type="spellEnd"/>
      <w:r w:rsidRPr="007248E5">
        <w:rPr>
          <w:rFonts w:ascii="Arial" w:hAnsi="Arial" w:cs="Arial"/>
          <w:bCs/>
        </w:rPr>
        <w:t xml:space="preserve"> profit or loss.</w:t>
      </w:r>
    </w:p>
    <w:p w:rsidR="0050230C" w:rsidRPr="007248E5" w:rsidRDefault="0050230C" w:rsidP="0050230C">
      <w:pPr>
        <w:jc w:val="both"/>
        <w:rPr>
          <w:rFonts w:ascii="Arial" w:hAnsi="Arial" w:cs="Arial"/>
          <w:bCs/>
        </w:rPr>
      </w:pPr>
    </w:p>
    <w:p w:rsidR="0050230C" w:rsidRPr="007248E5" w:rsidRDefault="0050230C" w:rsidP="0050230C">
      <w:pPr>
        <w:ind w:left="720"/>
        <w:jc w:val="both"/>
        <w:rPr>
          <w:rFonts w:ascii="Arial" w:hAnsi="Arial" w:cs="Arial"/>
          <w:bCs/>
        </w:rPr>
      </w:pPr>
      <w:r w:rsidRPr="007248E5">
        <w:rPr>
          <w:rFonts w:ascii="Arial" w:hAnsi="Arial" w:cs="Arial"/>
          <w:bCs/>
        </w:rPr>
        <w:t xml:space="preserve">On 20 December 2010, Bursa Securities further issued guidance on the disclosure and the format required. Pursuant to the directive, the breakdown of the retained profits of the Group as at 31 December 2010, into </w:t>
      </w:r>
      <w:proofErr w:type="spellStart"/>
      <w:r w:rsidRPr="007248E5">
        <w:rPr>
          <w:rFonts w:ascii="Arial" w:hAnsi="Arial" w:cs="Arial"/>
          <w:bCs/>
        </w:rPr>
        <w:t>realised</w:t>
      </w:r>
      <w:proofErr w:type="spellEnd"/>
      <w:r w:rsidRPr="007248E5">
        <w:rPr>
          <w:rFonts w:ascii="Arial" w:hAnsi="Arial" w:cs="Arial"/>
          <w:bCs/>
        </w:rPr>
        <w:t xml:space="preserve"> and </w:t>
      </w:r>
      <w:proofErr w:type="spellStart"/>
      <w:r w:rsidRPr="007248E5">
        <w:rPr>
          <w:rFonts w:ascii="Arial" w:hAnsi="Arial" w:cs="Arial"/>
          <w:bCs/>
        </w:rPr>
        <w:t>unrealised</w:t>
      </w:r>
      <w:proofErr w:type="spellEnd"/>
      <w:r w:rsidRPr="007248E5">
        <w:rPr>
          <w:rFonts w:ascii="Arial" w:hAnsi="Arial" w:cs="Arial"/>
          <w:bCs/>
        </w:rPr>
        <w:t xml:space="preserve"> profits is as follows: </w:t>
      </w:r>
    </w:p>
    <w:p w:rsidR="0050230C" w:rsidRPr="007248E5" w:rsidRDefault="0050230C" w:rsidP="0050230C">
      <w:pPr>
        <w:ind w:left="720"/>
        <w:jc w:val="both"/>
        <w:rPr>
          <w:rFonts w:ascii="Arial" w:hAnsi="Arial" w:cs="Arial"/>
          <w:bCs/>
        </w:rPr>
      </w:pPr>
    </w:p>
    <w:p w:rsidR="0050230C" w:rsidRPr="007248E5" w:rsidRDefault="0050230C" w:rsidP="0050230C">
      <w:pPr>
        <w:ind w:left="720"/>
        <w:jc w:val="both"/>
        <w:rPr>
          <w:rFonts w:ascii="Arial" w:hAnsi="Arial" w:cs="Arial"/>
          <w:bCs/>
        </w:rPr>
      </w:pPr>
    </w:p>
    <w:tbl>
      <w:tblPr>
        <w:tblW w:w="0" w:type="auto"/>
        <w:tblInd w:w="817" w:type="dxa"/>
        <w:tblLook w:val="04A0"/>
      </w:tblPr>
      <w:tblGrid>
        <w:gridCol w:w="4111"/>
        <w:gridCol w:w="1843"/>
        <w:gridCol w:w="425"/>
        <w:gridCol w:w="1701"/>
      </w:tblGrid>
      <w:tr w:rsidR="002C4D19" w:rsidRPr="007248E5" w:rsidTr="002C4D19">
        <w:trPr>
          <w:trHeight w:val="255"/>
        </w:trPr>
        <w:tc>
          <w:tcPr>
            <w:tcW w:w="4111" w:type="dxa"/>
            <w:tcBorders>
              <w:top w:val="nil"/>
              <w:left w:val="nil"/>
              <w:bottom w:val="nil"/>
              <w:right w:val="nil"/>
            </w:tcBorders>
            <w:shd w:val="clear" w:color="auto" w:fill="auto"/>
            <w:noWrap/>
            <w:vAlign w:val="bottom"/>
            <w:hideMark/>
          </w:tcPr>
          <w:p w:rsidR="002C4D19" w:rsidRPr="007248E5" w:rsidRDefault="002C4D19" w:rsidP="002C4D19">
            <w:pPr>
              <w:rPr>
                <w:rFonts w:ascii="Arial" w:hAnsi="Arial" w:cs="Arial"/>
                <w:lang w:val="en-MY" w:eastAsia="en-MY"/>
              </w:rPr>
            </w:pPr>
          </w:p>
        </w:tc>
        <w:tc>
          <w:tcPr>
            <w:tcW w:w="1843" w:type="dxa"/>
            <w:tcBorders>
              <w:top w:val="nil"/>
              <w:left w:val="nil"/>
              <w:bottom w:val="nil"/>
              <w:right w:val="nil"/>
            </w:tcBorders>
            <w:shd w:val="clear" w:color="auto" w:fill="auto"/>
            <w:noWrap/>
            <w:vAlign w:val="bottom"/>
            <w:hideMark/>
          </w:tcPr>
          <w:p w:rsidR="002C4D19" w:rsidRPr="007248E5" w:rsidRDefault="002C4D19" w:rsidP="002C4D19">
            <w:pPr>
              <w:jc w:val="center"/>
              <w:rPr>
                <w:rFonts w:ascii="Arial" w:hAnsi="Arial" w:cs="Arial"/>
                <w:lang w:val="en-MY" w:eastAsia="en-MY"/>
              </w:rPr>
            </w:pPr>
            <w:r w:rsidRPr="007248E5">
              <w:rPr>
                <w:rFonts w:ascii="Arial" w:hAnsi="Arial" w:cs="Arial"/>
                <w:lang w:val="en-MY" w:eastAsia="en-MY"/>
              </w:rPr>
              <w:t>As at</w:t>
            </w:r>
          </w:p>
        </w:tc>
        <w:tc>
          <w:tcPr>
            <w:tcW w:w="425" w:type="dxa"/>
            <w:tcBorders>
              <w:top w:val="nil"/>
              <w:left w:val="nil"/>
              <w:bottom w:val="nil"/>
              <w:right w:val="nil"/>
            </w:tcBorders>
            <w:shd w:val="clear" w:color="auto" w:fill="auto"/>
            <w:noWrap/>
            <w:vAlign w:val="bottom"/>
            <w:hideMark/>
          </w:tcPr>
          <w:p w:rsidR="002C4D19" w:rsidRPr="007248E5" w:rsidRDefault="002C4D19" w:rsidP="002C4D19">
            <w:pPr>
              <w:jc w:val="center"/>
              <w:rPr>
                <w:rFonts w:ascii="Arial" w:hAnsi="Arial" w:cs="Arial"/>
                <w:lang w:val="en-MY" w:eastAsia="en-MY"/>
              </w:rPr>
            </w:pPr>
          </w:p>
        </w:tc>
        <w:tc>
          <w:tcPr>
            <w:tcW w:w="1701" w:type="dxa"/>
            <w:tcBorders>
              <w:top w:val="nil"/>
              <w:left w:val="nil"/>
              <w:bottom w:val="nil"/>
              <w:right w:val="nil"/>
            </w:tcBorders>
            <w:shd w:val="clear" w:color="auto" w:fill="auto"/>
            <w:noWrap/>
            <w:vAlign w:val="bottom"/>
            <w:hideMark/>
          </w:tcPr>
          <w:p w:rsidR="002C4D19" w:rsidRPr="007248E5" w:rsidRDefault="002C4D19" w:rsidP="002C4D19">
            <w:pPr>
              <w:jc w:val="center"/>
              <w:rPr>
                <w:rFonts w:ascii="Arial" w:hAnsi="Arial" w:cs="Arial"/>
                <w:lang w:val="en-MY" w:eastAsia="en-MY"/>
              </w:rPr>
            </w:pPr>
            <w:r w:rsidRPr="007248E5">
              <w:rPr>
                <w:rFonts w:ascii="Arial" w:hAnsi="Arial" w:cs="Arial"/>
                <w:lang w:val="en-MY" w:eastAsia="en-MY"/>
              </w:rPr>
              <w:t>As at</w:t>
            </w:r>
          </w:p>
        </w:tc>
      </w:tr>
      <w:tr w:rsidR="002C4D19" w:rsidRPr="007248E5" w:rsidTr="002C4D19">
        <w:trPr>
          <w:trHeight w:val="255"/>
        </w:trPr>
        <w:tc>
          <w:tcPr>
            <w:tcW w:w="4111" w:type="dxa"/>
            <w:tcBorders>
              <w:top w:val="nil"/>
              <w:left w:val="nil"/>
              <w:bottom w:val="nil"/>
              <w:right w:val="nil"/>
            </w:tcBorders>
            <w:shd w:val="clear" w:color="auto" w:fill="auto"/>
            <w:noWrap/>
            <w:vAlign w:val="bottom"/>
            <w:hideMark/>
          </w:tcPr>
          <w:p w:rsidR="002C4D19" w:rsidRPr="007248E5" w:rsidRDefault="002C4D19" w:rsidP="002C4D19">
            <w:pPr>
              <w:rPr>
                <w:rFonts w:ascii="Arial" w:hAnsi="Arial" w:cs="Arial"/>
                <w:lang w:val="en-MY" w:eastAsia="en-MY"/>
              </w:rPr>
            </w:pPr>
          </w:p>
        </w:tc>
        <w:tc>
          <w:tcPr>
            <w:tcW w:w="1843" w:type="dxa"/>
            <w:tcBorders>
              <w:top w:val="nil"/>
              <w:left w:val="nil"/>
              <w:bottom w:val="nil"/>
              <w:right w:val="nil"/>
            </w:tcBorders>
            <w:shd w:val="clear" w:color="auto" w:fill="auto"/>
            <w:noWrap/>
            <w:vAlign w:val="bottom"/>
            <w:hideMark/>
          </w:tcPr>
          <w:p w:rsidR="002C4D19" w:rsidRPr="007248E5" w:rsidRDefault="002C4D19" w:rsidP="009E5315">
            <w:pPr>
              <w:jc w:val="center"/>
              <w:rPr>
                <w:rFonts w:ascii="Arial" w:hAnsi="Arial" w:cs="Arial"/>
                <w:lang w:val="en-MY" w:eastAsia="en-MY"/>
              </w:rPr>
            </w:pPr>
            <w:r w:rsidRPr="007248E5">
              <w:rPr>
                <w:rFonts w:ascii="Arial" w:hAnsi="Arial" w:cs="Arial"/>
                <w:lang w:val="en-MY" w:eastAsia="en-MY"/>
              </w:rPr>
              <w:t>3</w:t>
            </w:r>
            <w:r w:rsidR="009E5315" w:rsidRPr="007248E5">
              <w:rPr>
                <w:rFonts w:ascii="Arial" w:hAnsi="Arial" w:cs="Arial"/>
                <w:lang w:val="en-MY" w:eastAsia="en-MY"/>
              </w:rPr>
              <w:t>1.12</w:t>
            </w:r>
            <w:r w:rsidRPr="007248E5">
              <w:rPr>
                <w:rFonts w:ascii="Arial" w:hAnsi="Arial" w:cs="Arial"/>
                <w:lang w:val="en-MY" w:eastAsia="en-MY"/>
              </w:rPr>
              <w:t>.2011</w:t>
            </w:r>
          </w:p>
        </w:tc>
        <w:tc>
          <w:tcPr>
            <w:tcW w:w="425" w:type="dxa"/>
            <w:tcBorders>
              <w:top w:val="nil"/>
              <w:left w:val="nil"/>
              <w:bottom w:val="nil"/>
              <w:right w:val="nil"/>
            </w:tcBorders>
            <w:shd w:val="clear" w:color="auto" w:fill="auto"/>
            <w:noWrap/>
            <w:vAlign w:val="bottom"/>
            <w:hideMark/>
          </w:tcPr>
          <w:p w:rsidR="002C4D19" w:rsidRPr="007248E5" w:rsidRDefault="002C4D19" w:rsidP="002C4D19">
            <w:pPr>
              <w:jc w:val="center"/>
              <w:rPr>
                <w:rFonts w:ascii="Arial" w:hAnsi="Arial" w:cs="Arial"/>
                <w:lang w:val="en-MY" w:eastAsia="en-MY"/>
              </w:rPr>
            </w:pPr>
          </w:p>
        </w:tc>
        <w:tc>
          <w:tcPr>
            <w:tcW w:w="1701" w:type="dxa"/>
            <w:tcBorders>
              <w:top w:val="nil"/>
              <w:left w:val="nil"/>
              <w:bottom w:val="nil"/>
              <w:right w:val="nil"/>
            </w:tcBorders>
            <w:shd w:val="clear" w:color="auto" w:fill="auto"/>
            <w:noWrap/>
            <w:vAlign w:val="bottom"/>
            <w:hideMark/>
          </w:tcPr>
          <w:p w:rsidR="002C4D19" w:rsidRPr="007248E5" w:rsidRDefault="002C4D19" w:rsidP="002C4D19">
            <w:pPr>
              <w:jc w:val="center"/>
              <w:rPr>
                <w:rFonts w:ascii="Arial" w:hAnsi="Arial" w:cs="Arial"/>
                <w:lang w:val="en-MY" w:eastAsia="en-MY"/>
              </w:rPr>
            </w:pPr>
            <w:r w:rsidRPr="007248E5">
              <w:rPr>
                <w:rFonts w:ascii="Arial" w:hAnsi="Arial" w:cs="Arial"/>
                <w:lang w:val="en-MY" w:eastAsia="en-MY"/>
              </w:rPr>
              <w:t>31.12.2010</w:t>
            </w:r>
          </w:p>
        </w:tc>
      </w:tr>
      <w:tr w:rsidR="002C4D19" w:rsidRPr="007248E5" w:rsidTr="002C4D19">
        <w:trPr>
          <w:trHeight w:val="255"/>
        </w:trPr>
        <w:tc>
          <w:tcPr>
            <w:tcW w:w="4111" w:type="dxa"/>
            <w:tcBorders>
              <w:top w:val="nil"/>
              <w:left w:val="nil"/>
              <w:bottom w:val="nil"/>
              <w:right w:val="nil"/>
            </w:tcBorders>
            <w:shd w:val="clear" w:color="auto" w:fill="auto"/>
            <w:noWrap/>
            <w:vAlign w:val="bottom"/>
            <w:hideMark/>
          </w:tcPr>
          <w:p w:rsidR="002C4D19" w:rsidRPr="007248E5" w:rsidRDefault="002C4D19" w:rsidP="002C4D19">
            <w:pPr>
              <w:rPr>
                <w:rFonts w:ascii="Arial" w:hAnsi="Arial" w:cs="Arial"/>
                <w:lang w:val="en-MY" w:eastAsia="en-MY"/>
              </w:rPr>
            </w:pPr>
          </w:p>
        </w:tc>
        <w:tc>
          <w:tcPr>
            <w:tcW w:w="1843" w:type="dxa"/>
            <w:tcBorders>
              <w:top w:val="nil"/>
              <w:left w:val="nil"/>
              <w:bottom w:val="nil"/>
              <w:right w:val="nil"/>
            </w:tcBorders>
            <w:shd w:val="clear" w:color="auto" w:fill="auto"/>
            <w:noWrap/>
            <w:vAlign w:val="bottom"/>
            <w:hideMark/>
          </w:tcPr>
          <w:p w:rsidR="002C4D19" w:rsidRPr="007248E5" w:rsidRDefault="002C4D19" w:rsidP="002C4D19">
            <w:pPr>
              <w:jc w:val="center"/>
              <w:rPr>
                <w:rFonts w:ascii="Arial" w:hAnsi="Arial" w:cs="Arial"/>
                <w:lang w:val="en-MY" w:eastAsia="en-MY"/>
              </w:rPr>
            </w:pPr>
            <w:r w:rsidRPr="007248E5">
              <w:rPr>
                <w:rFonts w:ascii="Arial" w:hAnsi="Arial" w:cs="Arial"/>
                <w:lang w:val="en-MY" w:eastAsia="en-MY"/>
              </w:rPr>
              <w:t>RM'000</w:t>
            </w:r>
          </w:p>
        </w:tc>
        <w:tc>
          <w:tcPr>
            <w:tcW w:w="425" w:type="dxa"/>
            <w:tcBorders>
              <w:top w:val="nil"/>
              <w:left w:val="nil"/>
              <w:bottom w:val="nil"/>
              <w:right w:val="nil"/>
            </w:tcBorders>
            <w:shd w:val="clear" w:color="auto" w:fill="auto"/>
            <w:noWrap/>
            <w:vAlign w:val="bottom"/>
            <w:hideMark/>
          </w:tcPr>
          <w:p w:rsidR="002C4D19" w:rsidRPr="007248E5" w:rsidRDefault="002C4D19" w:rsidP="002C4D19">
            <w:pPr>
              <w:jc w:val="center"/>
              <w:rPr>
                <w:rFonts w:ascii="Arial" w:hAnsi="Arial" w:cs="Arial"/>
                <w:lang w:val="en-MY" w:eastAsia="en-MY"/>
              </w:rPr>
            </w:pPr>
          </w:p>
        </w:tc>
        <w:tc>
          <w:tcPr>
            <w:tcW w:w="1701" w:type="dxa"/>
            <w:tcBorders>
              <w:top w:val="nil"/>
              <w:left w:val="nil"/>
              <w:bottom w:val="nil"/>
              <w:right w:val="nil"/>
            </w:tcBorders>
            <w:shd w:val="clear" w:color="auto" w:fill="auto"/>
            <w:noWrap/>
            <w:vAlign w:val="bottom"/>
            <w:hideMark/>
          </w:tcPr>
          <w:p w:rsidR="002C4D19" w:rsidRPr="007248E5" w:rsidRDefault="002C4D19" w:rsidP="002C4D19">
            <w:pPr>
              <w:jc w:val="center"/>
              <w:rPr>
                <w:rFonts w:ascii="Arial" w:hAnsi="Arial" w:cs="Arial"/>
                <w:lang w:val="en-MY" w:eastAsia="en-MY"/>
              </w:rPr>
            </w:pPr>
            <w:r w:rsidRPr="007248E5">
              <w:rPr>
                <w:rFonts w:ascii="Arial" w:hAnsi="Arial" w:cs="Arial"/>
                <w:lang w:val="en-MY" w:eastAsia="en-MY"/>
              </w:rPr>
              <w:t>RM'000</w:t>
            </w:r>
          </w:p>
        </w:tc>
      </w:tr>
      <w:tr w:rsidR="002C4D19" w:rsidRPr="007248E5" w:rsidTr="002C4D19">
        <w:trPr>
          <w:trHeight w:val="255"/>
        </w:trPr>
        <w:tc>
          <w:tcPr>
            <w:tcW w:w="4111" w:type="dxa"/>
            <w:tcBorders>
              <w:top w:val="nil"/>
              <w:left w:val="nil"/>
              <w:bottom w:val="nil"/>
              <w:right w:val="nil"/>
            </w:tcBorders>
            <w:shd w:val="clear" w:color="auto" w:fill="auto"/>
            <w:noWrap/>
            <w:vAlign w:val="bottom"/>
            <w:hideMark/>
          </w:tcPr>
          <w:p w:rsidR="002C4D19" w:rsidRPr="007248E5" w:rsidRDefault="002C4D19" w:rsidP="00B33630">
            <w:pPr>
              <w:rPr>
                <w:rFonts w:ascii="Arial" w:hAnsi="Arial" w:cs="Arial"/>
                <w:lang w:val="en-MY" w:eastAsia="en-MY"/>
              </w:rPr>
            </w:pPr>
            <w:r w:rsidRPr="007248E5">
              <w:rPr>
                <w:rFonts w:ascii="Arial" w:hAnsi="Arial" w:cs="Arial"/>
                <w:lang w:val="en-MY" w:eastAsia="en-MY"/>
              </w:rPr>
              <w:t xml:space="preserve">Total retained Profits </w:t>
            </w:r>
          </w:p>
        </w:tc>
        <w:tc>
          <w:tcPr>
            <w:tcW w:w="1843" w:type="dxa"/>
            <w:tcBorders>
              <w:top w:val="nil"/>
              <w:left w:val="nil"/>
              <w:bottom w:val="nil"/>
              <w:right w:val="nil"/>
            </w:tcBorders>
            <w:shd w:val="clear" w:color="auto" w:fill="auto"/>
            <w:noWrap/>
            <w:vAlign w:val="bottom"/>
            <w:hideMark/>
          </w:tcPr>
          <w:p w:rsidR="002C4D19" w:rsidRPr="007248E5" w:rsidRDefault="002C4D19" w:rsidP="002C4D19">
            <w:pPr>
              <w:rPr>
                <w:rFonts w:ascii="Arial" w:hAnsi="Arial" w:cs="Arial"/>
                <w:lang w:val="en-MY" w:eastAsia="en-MY"/>
              </w:rPr>
            </w:pPr>
          </w:p>
        </w:tc>
        <w:tc>
          <w:tcPr>
            <w:tcW w:w="425" w:type="dxa"/>
            <w:tcBorders>
              <w:top w:val="nil"/>
              <w:left w:val="nil"/>
              <w:bottom w:val="nil"/>
              <w:right w:val="nil"/>
            </w:tcBorders>
            <w:shd w:val="clear" w:color="auto" w:fill="auto"/>
            <w:noWrap/>
            <w:vAlign w:val="bottom"/>
            <w:hideMark/>
          </w:tcPr>
          <w:p w:rsidR="002C4D19" w:rsidRPr="007248E5" w:rsidRDefault="002C4D19" w:rsidP="002C4D19">
            <w:pPr>
              <w:rPr>
                <w:rFonts w:ascii="Arial" w:hAnsi="Arial" w:cs="Arial"/>
                <w:lang w:val="en-MY" w:eastAsia="en-MY"/>
              </w:rPr>
            </w:pPr>
          </w:p>
        </w:tc>
        <w:tc>
          <w:tcPr>
            <w:tcW w:w="1701" w:type="dxa"/>
            <w:tcBorders>
              <w:top w:val="nil"/>
              <w:left w:val="nil"/>
              <w:bottom w:val="nil"/>
              <w:right w:val="nil"/>
            </w:tcBorders>
            <w:shd w:val="clear" w:color="auto" w:fill="auto"/>
            <w:noWrap/>
            <w:vAlign w:val="bottom"/>
            <w:hideMark/>
          </w:tcPr>
          <w:p w:rsidR="002C4D19" w:rsidRPr="007248E5" w:rsidRDefault="002C4D19" w:rsidP="002C4D19">
            <w:pPr>
              <w:rPr>
                <w:rFonts w:ascii="Arial" w:hAnsi="Arial" w:cs="Arial"/>
                <w:lang w:val="en-MY" w:eastAsia="en-MY"/>
              </w:rPr>
            </w:pPr>
          </w:p>
        </w:tc>
      </w:tr>
      <w:tr w:rsidR="00E40A98" w:rsidRPr="007248E5" w:rsidTr="002C4D19">
        <w:trPr>
          <w:trHeight w:val="255"/>
        </w:trPr>
        <w:tc>
          <w:tcPr>
            <w:tcW w:w="4111" w:type="dxa"/>
            <w:tcBorders>
              <w:top w:val="nil"/>
              <w:left w:val="nil"/>
              <w:bottom w:val="nil"/>
              <w:right w:val="nil"/>
            </w:tcBorders>
            <w:shd w:val="clear" w:color="auto" w:fill="auto"/>
            <w:noWrap/>
            <w:vAlign w:val="bottom"/>
            <w:hideMark/>
          </w:tcPr>
          <w:p w:rsidR="00E40A98" w:rsidRPr="007248E5" w:rsidRDefault="00E40A98" w:rsidP="002C4D19">
            <w:pPr>
              <w:rPr>
                <w:rFonts w:ascii="Arial" w:hAnsi="Arial" w:cs="Arial"/>
                <w:lang w:val="en-MY" w:eastAsia="en-MY"/>
              </w:rPr>
            </w:pPr>
            <w:r w:rsidRPr="007248E5">
              <w:rPr>
                <w:rFonts w:ascii="Arial" w:hAnsi="Arial" w:cs="Arial"/>
                <w:lang w:val="en-MY" w:eastAsia="en-MY"/>
              </w:rPr>
              <w:t>- Realised</w:t>
            </w:r>
          </w:p>
        </w:tc>
        <w:tc>
          <w:tcPr>
            <w:tcW w:w="1843" w:type="dxa"/>
            <w:tcBorders>
              <w:top w:val="nil"/>
              <w:left w:val="nil"/>
              <w:bottom w:val="nil"/>
              <w:right w:val="nil"/>
            </w:tcBorders>
            <w:shd w:val="clear" w:color="auto" w:fill="auto"/>
            <w:noWrap/>
            <w:vAlign w:val="bottom"/>
            <w:hideMark/>
          </w:tcPr>
          <w:p w:rsidR="00E40A98" w:rsidRPr="007248E5" w:rsidRDefault="00E40A98" w:rsidP="00A62032">
            <w:pPr>
              <w:jc w:val="right"/>
              <w:rPr>
                <w:rFonts w:ascii="Arial" w:hAnsi="Arial" w:cs="Arial"/>
                <w:lang w:val="en-MY" w:eastAsia="en-MY"/>
              </w:rPr>
            </w:pPr>
            <w:r w:rsidRPr="007248E5">
              <w:rPr>
                <w:rFonts w:ascii="Arial" w:hAnsi="Arial" w:cs="Arial"/>
                <w:lang w:val="en-MY" w:eastAsia="en-MY"/>
              </w:rPr>
              <w:t>2</w:t>
            </w:r>
            <w:r w:rsidR="00904195" w:rsidRPr="007248E5">
              <w:rPr>
                <w:rFonts w:ascii="Arial" w:hAnsi="Arial" w:cs="Arial"/>
                <w:lang w:val="en-MY" w:eastAsia="en-MY"/>
              </w:rPr>
              <w:t>5</w:t>
            </w:r>
            <w:r w:rsidR="00A62032">
              <w:rPr>
                <w:rFonts w:ascii="Arial" w:hAnsi="Arial" w:cs="Arial"/>
                <w:lang w:val="en-MY" w:eastAsia="en-MY"/>
              </w:rPr>
              <w:t>4</w:t>
            </w:r>
            <w:r w:rsidRPr="007248E5">
              <w:rPr>
                <w:rFonts w:ascii="Arial" w:hAnsi="Arial" w:cs="Arial"/>
                <w:lang w:val="en-MY" w:eastAsia="en-MY"/>
              </w:rPr>
              <w:t>,</w:t>
            </w:r>
            <w:r w:rsidR="00A62032">
              <w:rPr>
                <w:rFonts w:ascii="Arial" w:hAnsi="Arial" w:cs="Arial"/>
                <w:lang w:val="en-MY" w:eastAsia="en-MY"/>
              </w:rPr>
              <w:t>755</w:t>
            </w:r>
          </w:p>
        </w:tc>
        <w:tc>
          <w:tcPr>
            <w:tcW w:w="425" w:type="dxa"/>
            <w:tcBorders>
              <w:top w:val="nil"/>
              <w:left w:val="nil"/>
              <w:bottom w:val="nil"/>
              <w:right w:val="nil"/>
            </w:tcBorders>
            <w:shd w:val="clear" w:color="auto" w:fill="auto"/>
            <w:noWrap/>
            <w:vAlign w:val="bottom"/>
            <w:hideMark/>
          </w:tcPr>
          <w:p w:rsidR="00E40A98" w:rsidRPr="007248E5" w:rsidRDefault="00E40A98" w:rsidP="002C4D19">
            <w:pPr>
              <w:rPr>
                <w:rFonts w:ascii="Arial" w:hAnsi="Arial" w:cs="Arial"/>
                <w:lang w:val="en-MY" w:eastAsia="en-MY"/>
              </w:rPr>
            </w:pPr>
          </w:p>
        </w:tc>
        <w:tc>
          <w:tcPr>
            <w:tcW w:w="1701" w:type="dxa"/>
            <w:tcBorders>
              <w:top w:val="nil"/>
              <w:left w:val="nil"/>
              <w:bottom w:val="nil"/>
              <w:right w:val="nil"/>
            </w:tcBorders>
            <w:shd w:val="clear" w:color="auto" w:fill="auto"/>
            <w:noWrap/>
            <w:vAlign w:val="bottom"/>
            <w:hideMark/>
          </w:tcPr>
          <w:p w:rsidR="00E40A98" w:rsidRPr="007248E5" w:rsidRDefault="00E40A98" w:rsidP="00904195">
            <w:pPr>
              <w:jc w:val="right"/>
              <w:rPr>
                <w:rFonts w:ascii="Arial" w:hAnsi="Arial" w:cs="Arial"/>
                <w:lang w:val="en-MY" w:eastAsia="en-MY"/>
              </w:rPr>
            </w:pPr>
            <w:r w:rsidRPr="007248E5">
              <w:rPr>
                <w:rFonts w:ascii="Arial" w:hAnsi="Arial" w:cs="Arial"/>
                <w:lang w:val="en-MY" w:eastAsia="en-MY"/>
              </w:rPr>
              <w:t xml:space="preserve">          247,352 </w:t>
            </w:r>
          </w:p>
        </w:tc>
      </w:tr>
      <w:tr w:rsidR="00E40A98" w:rsidRPr="007248E5" w:rsidTr="002C4D19">
        <w:trPr>
          <w:trHeight w:val="255"/>
        </w:trPr>
        <w:tc>
          <w:tcPr>
            <w:tcW w:w="4111" w:type="dxa"/>
            <w:tcBorders>
              <w:top w:val="nil"/>
              <w:left w:val="nil"/>
              <w:bottom w:val="nil"/>
              <w:right w:val="nil"/>
            </w:tcBorders>
            <w:shd w:val="clear" w:color="auto" w:fill="auto"/>
            <w:noWrap/>
            <w:vAlign w:val="bottom"/>
            <w:hideMark/>
          </w:tcPr>
          <w:p w:rsidR="00E40A98" w:rsidRPr="007248E5" w:rsidRDefault="00E40A98" w:rsidP="002C4D19">
            <w:pPr>
              <w:rPr>
                <w:rFonts w:ascii="Arial" w:hAnsi="Arial" w:cs="Arial"/>
                <w:lang w:val="en-MY" w:eastAsia="en-MY"/>
              </w:rPr>
            </w:pPr>
            <w:r w:rsidRPr="007248E5">
              <w:rPr>
                <w:rFonts w:ascii="Arial" w:hAnsi="Arial" w:cs="Arial"/>
                <w:lang w:val="en-MY" w:eastAsia="en-MY"/>
              </w:rPr>
              <w:t>- Unrealised</w:t>
            </w:r>
          </w:p>
        </w:tc>
        <w:tc>
          <w:tcPr>
            <w:tcW w:w="1843" w:type="dxa"/>
            <w:tcBorders>
              <w:top w:val="nil"/>
              <w:left w:val="nil"/>
              <w:bottom w:val="nil"/>
              <w:right w:val="nil"/>
            </w:tcBorders>
            <w:shd w:val="clear" w:color="auto" w:fill="auto"/>
            <w:noWrap/>
            <w:vAlign w:val="bottom"/>
            <w:hideMark/>
          </w:tcPr>
          <w:p w:rsidR="00E40A98" w:rsidRPr="007248E5" w:rsidRDefault="00E40A98" w:rsidP="00A62032">
            <w:pPr>
              <w:jc w:val="right"/>
              <w:rPr>
                <w:rFonts w:ascii="Arial" w:hAnsi="Arial" w:cs="Arial"/>
                <w:lang w:val="en-MY" w:eastAsia="en-MY"/>
              </w:rPr>
            </w:pPr>
            <w:r w:rsidRPr="007248E5">
              <w:rPr>
                <w:rFonts w:ascii="Arial" w:hAnsi="Arial" w:cs="Arial"/>
                <w:lang w:val="en-MY" w:eastAsia="en-MY"/>
              </w:rPr>
              <w:t>(9,16</w:t>
            </w:r>
            <w:r w:rsidR="00A62032">
              <w:rPr>
                <w:rFonts w:ascii="Arial" w:hAnsi="Arial" w:cs="Arial"/>
                <w:lang w:val="en-MY" w:eastAsia="en-MY"/>
              </w:rPr>
              <w:t>6</w:t>
            </w:r>
            <w:r w:rsidRPr="007248E5">
              <w:rPr>
                <w:rFonts w:ascii="Arial" w:hAnsi="Arial" w:cs="Arial"/>
                <w:lang w:val="en-MY" w:eastAsia="en-MY"/>
              </w:rPr>
              <w:t>)</w:t>
            </w:r>
          </w:p>
        </w:tc>
        <w:tc>
          <w:tcPr>
            <w:tcW w:w="425" w:type="dxa"/>
            <w:tcBorders>
              <w:top w:val="nil"/>
              <w:left w:val="nil"/>
              <w:bottom w:val="nil"/>
              <w:right w:val="nil"/>
            </w:tcBorders>
            <w:shd w:val="clear" w:color="auto" w:fill="auto"/>
            <w:noWrap/>
            <w:vAlign w:val="bottom"/>
            <w:hideMark/>
          </w:tcPr>
          <w:p w:rsidR="00E40A98" w:rsidRPr="007248E5" w:rsidRDefault="00E40A98" w:rsidP="002C4D19">
            <w:pPr>
              <w:rPr>
                <w:rFonts w:ascii="Arial" w:hAnsi="Arial" w:cs="Arial"/>
                <w:lang w:val="en-MY" w:eastAsia="en-MY"/>
              </w:rPr>
            </w:pPr>
          </w:p>
        </w:tc>
        <w:tc>
          <w:tcPr>
            <w:tcW w:w="1701" w:type="dxa"/>
            <w:tcBorders>
              <w:top w:val="nil"/>
              <w:left w:val="nil"/>
              <w:bottom w:val="nil"/>
              <w:right w:val="nil"/>
            </w:tcBorders>
            <w:shd w:val="clear" w:color="auto" w:fill="auto"/>
            <w:noWrap/>
            <w:vAlign w:val="bottom"/>
            <w:hideMark/>
          </w:tcPr>
          <w:p w:rsidR="00E40A98" w:rsidRPr="007248E5" w:rsidRDefault="00E40A98" w:rsidP="00904195">
            <w:pPr>
              <w:jc w:val="right"/>
              <w:rPr>
                <w:rFonts w:ascii="Arial" w:hAnsi="Arial" w:cs="Arial"/>
                <w:lang w:val="en-MY" w:eastAsia="en-MY"/>
              </w:rPr>
            </w:pPr>
            <w:r w:rsidRPr="007248E5">
              <w:rPr>
                <w:rFonts w:ascii="Arial" w:hAnsi="Arial" w:cs="Arial"/>
                <w:lang w:val="en-MY" w:eastAsia="en-MY"/>
              </w:rPr>
              <w:t xml:space="preserve">             (9,405)</w:t>
            </w:r>
          </w:p>
        </w:tc>
      </w:tr>
      <w:tr w:rsidR="00E40A98" w:rsidRPr="007248E5" w:rsidTr="002C4D19">
        <w:trPr>
          <w:trHeight w:val="255"/>
        </w:trPr>
        <w:tc>
          <w:tcPr>
            <w:tcW w:w="4111" w:type="dxa"/>
            <w:tcBorders>
              <w:top w:val="nil"/>
              <w:left w:val="nil"/>
              <w:bottom w:val="nil"/>
              <w:right w:val="nil"/>
            </w:tcBorders>
            <w:shd w:val="clear" w:color="auto" w:fill="auto"/>
            <w:noWrap/>
            <w:vAlign w:val="bottom"/>
            <w:hideMark/>
          </w:tcPr>
          <w:p w:rsidR="00E40A98" w:rsidRPr="007248E5" w:rsidRDefault="00E40A98" w:rsidP="002C4D19">
            <w:pPr>
              <w:rPr>
                <w:rFonts w:ascii="Arial" w:hAnsi="Arial" w:cs="Arial"/>
                <w:lang w:val="en-MY" w:eastAsia="en-MY"/>
              </w:rPr>
            </w:pPr>
          </w:p>
        </w:tc>
        <w:tc>
          <w:tcPr>
            <w:tcW w:w="1843" w:type="dxa"/>
            <w:tcBorders>
              <w:top w:val="single" w:sz="4" w:space="0" w:color="auto"/>
              <w:left w:val="nil"/>
              <w:bottom w:val="nil"/>
              <w:right w:val="nil"/>
            </w:tcBorders>
            <w:shd w:val="clear" w:color="auto" w:fill="auto"/>
            <w:noWrap/>
            <w:vAlign w:val="bottom"/>
            <w:hideMark/>
          </w:tcPr>
          <w:p w:rsidR="00E40A98" w:rsidRPr="007248E5" w:rsidRDefault="00E40A98" w:rsidP="00A62032">
            <w:pPr>
              <w:jc w:val="right"/>
              <w:rPr>
                <w:rFonts w:ascii="Arial" w:hAnsi="Arial" w:cs="Arial"/>
                <w:lang w:val="en-MY" w:eastAsia="en-MY"/>
              </w:rPr>
            </w:pPr>
            <w:r w:rsidRPr="007248E5">
              <w:rPr>
                <w:rFonts w:ascii="Arial" w:hAnsi="Arial" w:cs="Arial"/>
                <w:lang w:val="en-MY" w:eastAsia="en-MY"/>
              </w:rPr>
              <w:t>2</w:t>
            </w:r>
            <w:r w:rsidR="00904195" w:rsidRPr="007248E5">
              <w:rPr>
                <w:rFonts w:ascii="Arial" w:hAnsi="Arial" w:cs="Arial"/>
                <w:lang w:val="en-MY" w:eastAsia="en-MY"/>
              </w:rPr>
              <w:t>4</w:t>
            </w:r>
            <w:r w:rsidR="00A62032">
              <w:rPr>
                <w:rFonts w:ascii="Arial" w:hAnsi="Arial" w:cs="Arial"/>
                <w:lang w:val="en-MY" w:eastAsia="en-MY"/>
              </w:rPr>
              <w:t>5</w:t>
            </w:r>
            <w:r w:rsidRPr="007248E5">
              <w:rPr>
                <w:rFonts w:ascii="Arial" w:hAnsi="Arial" w:cs="Arial"/>
                <w:lang w:val="en-MY" w:eastAsia="en-MY"/>
              </w:rPr>
              <w:t>,</w:t>
            </w:r>
            <w:r w:rsidR="00A62032">
              <w:rPr>
                <w:rFonts w:ascii="Arial" w:hAnsi="Arial" w:cs="Arial"/>
                <w:lang w:val="en-MY" w:eastAsia="en-MY"/>
              </w:rPr>
              <w:t>589</w:t>
            </w:r>
          </w:p>
        </w:tc>
        <w:tc>
          <w:tcPr>
            <w:tcW w:w="425" w:type="dxa"/>
            <w:tcBorders>
              <w:top w:val="nil"/>
              <w:left w:val="nil"/>
              <w:bottom w:val="nil"/>
              <w:right w:val="nil"/>
            </w:tcBorders>
            <w:shd w:val="clear" w:color="auto" w:fill="auto"/>
            <w:noWrap/>
            <w:vAlign w:val="bottom"/>
            <w:hideMark/>
          </w:tcPr>
          <w:p w:rsidR="00E40A98" w:rsidRPr="007248E5" w:rsidRDefault="00E40A98" w:rsidP="002C4D19">
            <w:pPr>
              <w:rPr>
                <w:rFonts w:ascii="Arial" w:hAnsi="Arial" w:cs="Arial"/>
                <w:lang w:val="en-MY" w:eastAsia="en-MY"/>
              </w:rPr>
            </w:pPr>
          </w:p>
        </w:tc>
        <w:tc>
          <w:tcPr>
            <w:tcW w:w="1701" w:type="dxa"/>
            <w:tcBorders>
              <w:top w:val="single" w:sz="4" w:space="0" w:color="auto"/>
              <w:left w:val="nil"/>
              <w:bottom w:val="nil"/>
              <w:right w:val="nil"/>
            </w:tcBorders>
            <w:shd w:val="clear" w:color="auto" w:fill="auto"/>
            <w:noWrap/>
            <w:vAlign w:val="bottom"/>
            <w:hideMark/>
          </w:tcPr>
          <w:p w:rsidR="00E40A98" w:rsidRPr="007248E5" w:rsidRDefault="00E40A98" w:rsidP="00904195">
            <w:pPr>
              <w:jc w:val="right"/>
              <w:rPr>
                <w:rFonts w:ascii="Arial" w:hAnsi="Arial" w:cs="Arial"/>
                <w:lang w:val="en-MY" w:eastAsia="en-MY"/>
              </w:rPr>
            </w:pPr>
            <w:r w:rsidRPr="007248E5">
              <w:rPr>
                <w:rFonts w:ascii="Arial" w:hAnsi="Arial" w:cs="Arial"/>
                <w:lang w:val="en-MY" w:eastAsia="en-MY"/>
              </w:rPr>
              <w:t xml:space="preserve">          237,947 </w:t>
            </w:r>
          </w:p>
        </w:tc>
      </w:tr>
      <w:tr w:rsidR="00E40A98" w:rsidRPr="007248E5" w:rsidTr="002C4D19">
        <w:trPr>
          <w:trHeight w:val="255"/>
        </w:trPr>
        <w:tc>
          <w:tcPr>
            <w:tcW w:w="4111" w:type="dxa"/>
            <w:tcBorders>
              <w:top w:val="nil"/>
              <w:left w:val="nil"/>
              <w:bottom w:val="nil"/>
              <w:right w:val="nil"/>
            </w:tcBorders>
            <w:shd w:val="clear" w:color="auto" w:fill="auto"/>
            <w:noWrap/>
            <w:vAlign w:val="bottom"/>
            <w:hideMark/>
          </w:tcPr>
          <w:p w:rsidR="00E40A98" w:rsidRPr="007248E5" w:rsidRDefault="00E40A98" w:rsidP="002C4D19">
            <w:pPr>
              <w:rPr>
                <w:rFonts w:ascii="Arial" w:hAnsi="Arial" w:cs="Arial"/>
                <w:lang w:val="en-MY" w:eastAsia="en-MY"/>
              </w:rPr>
            </w:pPr>
            <w:r w:rsidRPr="007248E5">
              <w:rPr>
                <w:rFonts w:ascii="Arial" w:hAnsi="Arial" w:cs="Arial"/>
                <w:lang w:val="en-MY" w:eastAsia="en-MY"/>
              </w:rPr>
              <w:t>Less : Consolidation adjustments</w:t>
            </w:r>
          </w:p>
        </w:tc>
        <w:tc>
          <w:tcPr>
            <w:tcW w:w="1843" w:type="dxa"/>
            <w:tcBorders>
              <w:top w:val="nil"/>
              <w:left w:val="nil"/>
              <w:bottom w:val="nil"/>
              <w:right w:val="nil"/>
            </w:tcBorders>
            <w:shd w:val="clear" w:color="auto" w:fill="auto"/>
            <w:noWrap/>
            <w:vAlign w:val="bottom"/>
            <w:hideMark/>
          </w:tcPr>
          <w:p w:rsidR="00E40A98" w:rsidRPr="007248E5" w:rsidRDefault="00E40A98" w:rsidP="00A62032">
            <w:pPr>
              <w:jc w:val="right"/>
              <w:rPr>
                <w:rFonts w:ascii="Arial" w:hAnsi="Arial" w:cs="Arial"/>
                <w:lang w:val="en-MY" w:eastAsia="en-MY"/>
              </w:rPr>
            </w:pPr>
            <w:r w:rsidRPr="007248E5">
              <w:rPr>
                <w:rFonts w:ascii="Arial" w:hAnsi="Arial" w:cs="Arial"/>
                <w:lang w:val="en-MY" w:eastAsia="en-MY"/>
              </w:rPr>
              <w:t>(7</w:t>
            </w:r>
            <w:r w:rsidR="00904195" w:rsidRPr="007248E5">
              <w:rPr>
                <w:rFonts w:ascii="Arial" w:hAnsi="Arial" w:cs="Arial"/>
                <w:lang w:val="en-MY" w:eastAsia="en-MY"/>
              </w:rPr>
              <w:t>6</w:t>
            </w:r>
            <w:r w:rsidRPr="007248E5">
              <w:rPr>
                <w:rFonts w:ascii="Arial" w:hAnsi="Arial" w:cs="Arial"/>
                <w:lang w:val="en-MY" w:eastAsia="en-MY"/>
              </w:rPr>
              <w:t>,</w:t>
            </w:r>
            <w:r w:rsidR="00A62032">
              <w:rPr>
                <w:rFonts w:ascii="Arial" w:hAnsi="Arial" w:cs="Arial"/>
                <w:lang w:val="en-MY" w:eastAsia="en-MY"/>
              </w:rPr>
              <w:t>06</w:t>
            </w:r>
            <w:r w:rsidR="00904195" w:rsidRPr="007248E5">
              <w:rPr>
                <w:rFonts w:ascii="Arial" w:hAnsi="Arial" w:cs="Arial"/>
                <w:lang w:val="en-MY" w:eastAsia="en-MY"/>
              </w:rPr>
              <w:t>8</w:t>
            </w:r>
            <w:r w:rsidRPr="007248E5">
              <w:rPr>
                <w:rFonts w:ascii="Arial" w:hAnsi="Arial" w:cs="Arial"/>
                <w:lang w:val="en-MY" w:eastAsia="en-MY"/>
              </w:rPr>
              <w:t>)</w:t>
            </w:r>
          </w:p>
        </w:tc>
        <w:tc>
          <w:tcPr>
            <w:tcW w:w="425" w:type="dxa"/>
            <w:tcBorders>
              <w:top w:val="nil"/>
              <w:left w:val="nil"/>
              <w:bottom w:val="nil"/>
              <w:right w:val="nil"/>
            </w:tcBorders>
            <w:shd w:val="clear" w:color="auto" w:fill="auto"/>
            <w:noWrap/>
            <w:vAlign w:val="bottom"/>
            <w:hideMark/>
          </w:tcPr>
          <w:p w:rsidR="00E40A98" w:rsidRPr="007248E5" w:rsidRDefault="00E40A98" w:rsidP="002C4D19">
            <w:pPr>
              <w:rPr>
                <w:rFonts w:ascii="Arial" w:hAnsi="Arial" w:cs="Arial"/>
                <w:lang w:val="en-MY" w:eastAsia="en-MY"/>
              </w:rPr>
            </w:pPr>
          </w:p>
        </w:tc>
        <w:tc>
          <w:tcPr>
            <w:tcW w:w="1701" w:type="dxa"/>
            <w:tcBorders>
              <w:top w:val="nil"/>
              <w:left w:val="nil"/>
              <w:bottom w:val="nil"/>
              <w:right w:val="nil"/>
            </w:tcBorders>
            <w:shd w:val="clear" w:color="auto" w:fill="auto"/>
            <w:noWrap/>
            <w:vAlign w:val="bottom"/>
            <w:hideMark/>
          </w:tcPr>
          <w:p w:rsidR="00E40A98" w:rsidRPr="007248E5" w:rsidRDefault="00E40A98" w:rsidP="00904195">
            <w:pPr>
              <w:jc w:val="right"/>
              <w:rPr>
                <w:rFonts w:ascii="Arial" w:hAnsi="Arial" w:cs="Arial"/>
                <w:lang w:val="en-MY" w:eastAsia="en-MY"/>
              </w:rPr>
            </w:pPr>
            <w:r w:rsidRPr="007248E5">
              <w:rPr>
                <w:rFonts w:ascii="Arial" w:hAnsi="Arial" w:cs="Arial"/>
                <w:lang w:val="en-MY" w:eastAsia="en-MY"/>
              </w:rPr>
              <w:t xml:space="preserve">           (72,906)</w:t>
            </w:r>
          </w:p>
        </w:tc>
      </w:tr>
      <w:tr w:rsidR="00E40A98" w:rsidRPr="007248E5" w:rsidTr="002C4D19">
        <w:trPr>
          <w:trHeight w:val="270"/>
        </w:trPr>
        <w:tc>
          <w:tcPr>
            <w:tcW w:w="4111" w:type="dxa"/>
            <w:tcBorders>
              <w:top w:val="nil"/>
              <w:left w:val="nil"/>
              <w:bottom w:val="nil"/>
              <w:right w:val="nil"/>
            </w:tcBorders>
            <w:shd w:val="clear" w:color="auto" w:fill="auto"/>
            <w:noWrap/>
            <w:vAlign w:val="bottom"/>
            <w:hideMark/>
          </w:tcPr>
          <w:p w:rsidR="00E40A98" w:rsidRPr="007248E5" w:rsidRDefault="00E40A98" w:rsidP="00B33630">
            <w:pPr>
              <w:rPr>
                <w:rFonts w:ascii="Arial" w:hAnsi="Arial" w:cs="Arial"/>
                <w:lang w:val="en-MY" w:eastAsia="en-MY"/>
              </w:rPr>
            </w:pPr>
            <w:r w:rsidRPr="007248E5">
              <w:rPr>
                <w:rFonts w:ascii="Arial" w:hAnsi="Arial" w:cs="Arial"/>
                <w:lang w:val="en-MY" w:eastAsia="en-MY"/>
              </w:rPr>
              <w:t>Total Group Retained Profits</w:t>
            </w:r>
          </w:p>
        </w:tc>
        <w:tc>
          <w:tcPr>
            <w:tcW w:w="1843" w:type="dxa"/>
            <w:tcBorders>
              <w:top w:val="single" w:sz="4" w:space="0" w:color="auto"/>
              <w:left w:val="nil"/>
              <w:bottom w:val="double" w:sz="6" w:space="0" w:color="auto"/>
              <w:right w:val="nil"/>
            </w:tcBorders>
            <w:shd w:val="clear" w:color="auto" w:fill="auto"/>
            <w:noWrap/>
            <w:vAlign w:val="bottom"/>
            <w:hideMark/>
          </w:tcPr>
          <w:p w:rsidR="00E40A98" w:rsidRPr="007248E5" w:rsidRDefault="00E40A98" w:rsidP="00A62032">
            <w:pPr>
              <w:jc w:val="right"/>
              <w:rPr>
                <w:rFonts w:ascii="Arial" w:hAnsi="Arial" w:cs="Arial"/>
                <w:lang w:val="en-MY" w:eastAsia="en-MY"/>
              </w:rPr>
            </w:pPr>
            <w:r w:rsidRPr="007248E5">
              <w:rPr>
                <w:rFonts w:ascii="Arial" w:hAnsi="Arial" w:cs="Arial"/>
                <w:lang w:val="en-MY" w:eastAsia="en-MY"/>
              </w:rPr>
              <w:t>1</w:t>
            </w:r>
            <w:r w:rsidR="008141A2" w:rsidRPr="007248E5">
              <w:rPr>
                <w:rFonts w:ascii="Arial" w:hAnsi="Arial" w:cs="Arial"/>
                <w:lang w:val="en-MY" w:eastAsia="en-MY"/>
              </w:rPr>
              <w:t>69</w:t>
            </w:r>
            <w:r w:rsidRPr="007248E5">
              <w:rPr>
                <w:rFonts w:ascii="Arial" w:hAnsi="Arial" w:cs="Arial"/>
                <w:lang w:val="en-MY" w:eastAsia="en-MY"/>
              </w:rPr>
              <w:t>,</w:t>
            </w:r>
            <w:r w:rsidR="00A62032">
              <w:rPr>
                <w:rFonts w:ascii="Arial" w:hAnsi="Arial" w:cs="Arial"/>
                <w:lang w:val="en-MY" w:eastAsia="en-MY"/>
              </w:rPr>
              <w:t>521</w:t>
            </w:r>
          </w:p>
        </w:tc>
        <w:tc>
          <w:tcPr>
            <w:tcW w:w="425" w:type="dxa"/>
            <w:tcBorders>
              <w:top w:val="nil"/>
              <w:left w:val="nil"/>
              <w:bottom w:val="nil"/>
              <w:right w:val="nil"/>
            </w:tcBorders>
            <w:shd w:val="clear" w:color="auto" w:fill="auto"/>
            <w:noWrap/>
            <w:vAlign w:val="bottom"/>
            <w:hideMark/>
          </w:tcPr>
          <w:p w:rsidR="00E40A98" w:rsidRPr="007248E5" w:rsidRDefault="00E40A98" w:rsidP="002C4D19">
            <w:pPr>
              <w:rPr>
                <w:rFonts w:ascii="Arial" w:hAnsi="Arial" w:cs="Arial"/>
                <w:lang w:val="en-MY" w:eastAsia="en-MY"/>
              </w:rPr>
            </w:pPr>
          </w:p>
        </w:tc>
        <w:tc>
          <w:tcPr>
            <w:tcW w:w="1701" w:type="dxa"/>
            <w:tcBorders>
              <w:top w:val="single" w:sz="4" w:space="0" w:color="auto"/>
              <w:left w:val="nil"/>
              <w:bottom w:val="double" w:sz="6" w:space="0" w:color="auto"/>
              <w:right w:val="nil"/>
            </w:tcBorders>
            <w:shd w:val="clear" w:color="auto" w:fill="auto"/>
            <w:noWrap/>
            <w:vAlign w:val="bottom"/>
            <w:hideMark/>
          </w:tcPr>
          <w:p w:rsidR="00E40A98" w:rsidRPr="007248E5" w:rsidRDefault="00E40A98" w:rsidP="00904195">
            <w:pPr>
              <w:jc w:val="right"/>
              <w:rPr>
                <w:rFonts w:ascii="Arial" w:hAnsi="Arial" w:cs="Arial"/>
                <w:lang w:val="en-MY" w:eastAsia="en-MY"/>
              </w:rPr>
            </w:pPr>
            <w:r w:rsidRPr="007248E5">
              <w:rPr>
                <w:rFonts w:ascii="Arial" w:hAnsi="Arial" w:cs="Arial"/>
                <w:lang w:val="en-MY" w:eastAsia="en-MY"/>
              </w:rPr>
              <w:t xml:space="preserve">          165,041 </w:t>
            </w:r>
          </w:p>
        </w:tc>
      </w:tr>
    </w:tbl>
    <w:p w:rsidR="0050230C" w:rsidRPr="007248E5" w:rsidRDefault="0050230C" w:rsidP="0050230C">
      <w:pPr>
        <w:ind w:left="720"/>
        <w:jc w:val="both"/>
        <w:rPr>
          <w:rFonts w:ascii="Arial" w:hAnsi="Arial" w:cs="Arial"/>
          <w:bCs/>
        </w:rPr>
      </w:pPr>
    </w:p>
    <w:p w:rsidR="0050230C" w:rsidRPr="007248E5" w:rsidRDefault="0050230C" w:rsidP="0050230C">
      <w:pPr>
        <w:ind w:left="720"/>
        <w:jc w:val="both"/>
        <w:rPr>
          <w:rFonts w:ascii="Arial" w:hAnsi="Arial" w:cs="Arial"/>
          <w:bCs/>
        </w:rPr>
      </w:pPr>
    </w:p>
    <w:p w:rsidR="0050230C" w:rsidRPr="007248E5" w:rsidRDefault="0050230C" w:rsidP="0050230C">
      <w:pPr>
        <w:ind w:left="720"/>
        <w:jc w:val="both"/>
        <w:rPr>
          <w:rFonts w:ascii="Arial" w:hAnsi="Arial" w:cs="Arial"/>
          <w:bCs/>
        </w:rPr>
      </w:pPr>
      <w:r w:rsidRPr="007248E5">
        <w:rPr>
          <w:rFonts w:ascii="Arial" w:hAnsi="Arial" w:cs="Arial"/>
          <w:bCs/>
        </w:rPr>
        <w:t xml:space="preserve">The determination of </w:t>
      </w:r>
      <w:proofErr w:type="spellStart"/>
      <w:r w:rsidRPr="007248E5">
        <w:rPr>
          <w:rFonts w:ascii="Arial" w:hAnsi="Arial" w:cs="Arial"/>
          <w:bCs/>
        </w:rPr>
        <w:t>realised</w:t>
      </w:r>
      <w:proofErr w:type="spellEnd"/>
      <w:r w:rsidRPr="007248E5">
        <w:rPr>
          <w:rFonts w:ascii="Arial" w:hAnsi="Arial" w:cs="Arial"/>
          <w:bCs/>
        </w:rPr>
        <w:t xml:space="preserve"> and </w:t>
      </w:r>
      <w:proofErr w:type="spellStart"/>
      <w:r w:rsidRPr="007248E5">
        <w:rPr>
          <w:rFonts w:ascii="Arial" w:hAnsi="Arial" w:cs="Arial"/>
          <w:bCs/>
        </w:rPr>
        <w:t>unrealised</w:t>
      </w:r>
      <w:proofErr w:type="spellEnd"/>
      <w:r w:rsidRPr="007248E5">
        <w:rPr>
          <w:rFonts w:ascii="Arial" w:hAnsi="Arial" w:cs="Arial"/>
          <w:bCs/>
        </w:rPr>
        <w:t xml:space="preserve"> profits is compiled based on Guidance of Special Matter No 1, issued by the Malaysian Institute of Accountant on 20 December 2010. </w:t>
      </w:r>
    </w:p>
    <w:p w:rsidR="0050230C" w:rsidRPr="007248E5" w:rsidRDefault="0050230C" w:rsidP="0050230C">
      <w:pPr>
        <w:jc w:val="both"/>
        <w:rPr>
          <w:rFonts w:ascii="Arial" w:hAnsi="Arial" w:cs="Arial"/>
          <w:bCs/>
        </w:rPr>
      </w:pPr>
    </w:p>
    <w:p w:rsidR="0050230C" w:rsidRPr="007248E5" w:rsidRDefault="0050230C" w:rsidP="0050230C">
      <w:pPr>
        <w:ind w:left="720"/>
        <w:jc w:val="both"/>
        <w:rPr>
          <w:rFonts w:ascii="Arial" w:hAnsi="Arial" w:cs="Arial"/>
          <w:bCs/>
        </w:rPr>
      </w:pPr>
      <w:r w:rsidRPr="007248E5">
        <w:rPr>
          <w:rFonts w:ascii="Arial" w:hAnsi="Arial" w:cs="Arial"/>
          <w:bCs/>
        </w:rPr>
        <w:t xml:space="preserve">The disclosure of </w:t>
      </w:r>
      <w:proofErr w:type="spellStart"/>
      <w:r w:rsidRPr="007248E5">
        <w:rPr>
          <w:rFonts w:ascii="Arial" w:hAnsi="Arial" w:cs="Arial"/>
          <w:bCs/>
        </w:rPr>
        <w:t>realised</w:t>
      </w:r>
      <w:proofErr w:type="spellEnd"/>
      <w:r w:rsidRPr="007248E5">
        <w:rPr>
          <w:rFonts w:ascii="Arial" w:hAnsi="Arial" w:cs="Arial"/>
          <w:bCs/>
        </w:rPr>
        <w:t xml:space="preserve"> and </w:t>
      </w:r>
      <w:proofErr w:type="spellStart"/>
      <w:r w:rsidRPr="007248E5">
        <w:rPr>
          <w:rFonts w:ascii="Arial" w:hAnsi="Arial" w:cs="Arial"/>
          <w:bCs/>
        </w:rPr>
        <w:t>unrealised</w:t>
      </w:r>
      <w:proofErr w:type="spellEnd"/>
      <w:r w:rsidRPr="007248E5">
        <w:rPr>
          <w:rFonts w:ascii="Arial" w:hAnsi="Arial" w:cs="Arial"/>
          <w:bCs/>
        </w:rPr>
        <w:t xml:space="preserve"> profits above is solely for complying with the disclosure requirements as stipulated in the directive of Bursa Securities and should not be applied for any other purpose.</w:t>
      </w:r>
    </w:p>
    <w:p w:rsidR="00E83FBD" w:rsidRPr="007248E5" w:rsidRDefault="00E83FBD">
      <w:pPr>
        <w:jc w:val="both"/>
        <w:rPr>
          <w:rFonts w:ascii="Arial" w:hAnsi="Arial" w:cs="Arial"/>
          <w:bCs/>
        </w:rPr>
      </w:pPr>
    </w:p>
    <w:p w:rsidR="00E83FBD" w:rsidRPr="007248E5" w:rsidRDefault="00E83FBD">
      <w:pPr>
        <w:jc w:val="both"/>
        <w:rPr>
          <w:rFonts w:ascii="Arial" w:hAnsi="Arial" w:cs="Arial"/>
          <w:b/>
          <w:bCs/>
        </w:rPr>
      </w:pPr>
    </w:p>
    <w:p w:rsidR="00E83FBD" w:rsidRPr="007248E5" w:rsidRDefault="00E83FBD">
      <w:pPr>
        <w:jc w:val="both"/>
        <w:rPr>
          <w:rFonts w:ascii="Arial" w:hAnsi="Arial" w:cs="Arial"/>
          <w:b/>
          <w:bCs/>
        </w:rPr>
      </w:pPr>
    </w:p>
    <w:p w:rsidR="008A633A" w:rsidRPr="007248E5" w:rsidRDefault="00E83FBD">
      <w:pPr>
        <w:jc w:val="both"/>
        <w:rPr>
          <w:rFonts w:ascii="Arial" w:hAnsi="Arial" w:cs="Arial"/>
          <w:b/>
          <w:bCs/>
        </w:rPr>
      </w:pPr>
      <w:r w:rsidRPr="007248E5">
        <w:rPr>
          <w:rFonts w:ascii="Arial" w:hAnsi="Arial" w:cs="Arial"/>
          <w:b/>
          <w:bCs/>
        </w:rPr>
        <w:t>28.</w:t>
      </w:r>
      <w:r w:rsidRPr="007248E5">
        <w:rPr>
          <w:rFonts w:ascii="Arial" w:hAnsi="Arial" w:cs="Arial"/>
          <w:b/>
          <w:bCs/>
        </w:rPr>
        <w:tab/>
      </w:r>
      <w:proofErr w:type="spellStart"/>
      <w:r w:rsidR="008A633A" w:rsidRPr="007248E5">
        <w:rPr>
          <w:rFonts w:ascii="Arial" w:hAnsi="Arial" w:cs="Arial"/>
          <w:b/>
          <w:bCs/>
        </w:rPr>
        <w:t>Authorisation</w:t>
      </w:r>
      <w:proofErr w:type="spellEnd"/>
      <w:r w:rsidR="008A633A" w:rsidRPr="007248E5">
        <w:rPr>
          <w:rFonts w:ascii="Arial" w:hAnsi="Arial" w:cs="Arial"/>
          <w:b/>
          <w:bCs/>
        </w:rPr>
        <w:t xml:space="preserve"> for Issue</w:t>
      </w:r>
    </w:p>
    <w:p w:rsidR="008A633A" w:rsidRPr="007248E5" w:rsidRDefault="008A633A" w:rsidP="00193C9B">
      <w:pPr>
        <w:jc w:val="both"/>
        <w:rPr>
          <w:rFonts w:ascii="Arial" w:hAnsi="Arial" w:cs="Arial"/>
          <w:b/>
          <w:bCs/>
        </w:rPr>
      </w:pPr>
    </w:p>
    <w:p w:rsidR="008A633A" w:rsidRPr="007248E5" w:rsidRDefault="008A633A" w:rsidP="0094105C">
      <w:pPr>
        <w:tabs>
          <w:tab w:val="left" w:pos="720"/>
          <w:tab w:val="left" w:pos="9090"/>
        </w:tabs>
        <w:ind w:left="709"/>
        <w:jc w:val="both"/>
        <w:rPr>
          <w:rFonts w:ascii="Arial" w:hAnsi="Arial" w:cs="Arial"/>
        </w:rPr>
      </w:pPr>
      <w:r w:rsidRPr="007248E5">
        <w:rPr>
          <w:rFonts w:ascii="Arial" w:hAnsi="Arial" w:cs="Arial"/>
          <w:b/>
          <w:bCs/>
        </w:rPr>
        <w:tab/>
      </w:r>
      <w:r w:rsidRPr="007248E5">
        <w:rPr>
          <w:rFonts w:ascii="Arial" w:hAnsi="Arial" w:cs="Arial"/>
        </w:rPr>
        <w:t xml:space="preserve">The interim financial statements were </w:t>
      </w:r>
      <w:proofErr w:type="spellStart"/>
      <w:r w:rsidRPr="007248E5">
        <w:rPr>
          <w:rFonts w:ascii="Arial" w:hAnsi="Arial" w:cs="Arial"/>
        </w:rPr>
        <w:t>authorised</w:t>
      </w:r>
      <w:proofErr w:type="spellEnd"/>
      <w:r w:rsidRPr="007248E5">
        <w:rPr>
          <w:rFonts w:ascii="Arial" w:hAnsi="Arial" w:cs="Arial"/>
        </w:rPr>
        <w:t xml:space="preserve"> for issue by the Board of Directors in accordance with the resolutio</w:t>
      </w:r>
      <w:r w:rsidR="00FD2FE5" w:rsidRPr="007248E5">
        <w:rPr>
          <w:rFonts w:ascii="Arial" w:hAnsi="Arial" w:cs="Arial"/>
        </w:rPr>
        <w:t>n of the directors on</w:t>
      </w:r>
      <w:r w:rsidR="00E40A98" w:rsidRPr="007248E5">
        <w:rPr>
          <w:rFonts w:ascii="Arial" w:hAnsi="Arial" w:cs="Arial"/>
        </w:rPr>
        <w:t xml:space="preserve"> 2</w:t>
      </w:r>
      <w:r w:rsidR="009E5315" w:rsidRPr="007248E5">
        <w:rPr>
          <w:rFonts w:ascii="Arial" w:hAnsi="Arial" w:cs="Arial"/>
        </w:rPr>
        <w:t>7</w:t>
      </w:r>
      <w:r w:rsidR="00051FF0" w:rsidRPr="007248E5">
        <w:rPr>
          <w:rFonts w:ascii="Arial" w:hAnsi="Arial" w:cs="Arial"/>
        </w:rPr>
        <w:t xml:space="preserve"> </w:t>
      </w:r>
      <w:r w:rsidR="009E5315" w:rsidRPr="007248E5">
        <w:rPr>
          <w:rFonts w:ascii="Arial" w:hAnsi="Arial" w:cs="Arial"/>
        </w:rPr>
        <w:t>February 2012</w:t>
      </w:r>
      <w:r w:rsidRPr="007248E5">
        <w:rPr>
          <w:rFonts w:ascii="Arial" w:hAnsi="Arial" w:cs="Arial"/>
        </w:rPr>
        <w:t>.</w:t>
      </w:r>
    </w:p>
    <w:sectPr w:rsidR="008A633A" w:rsidRPr="007248E5" w:rsidSect="0075336D">
      <w:headerReference w:type="even" r:id="rId10"/>
      <w:headerReference w:type="default" r:id="rId11"/>
      <w:footerReference w:type="even" r:id="rId12"/>
      <w:footerReference w:type="default" r:id="rId13"/>
      <w:headerReference w:type="first" r:id="rId14"/>
      <w:footerReference w:type="first" r:id="rId15"/>
      <w:pgSz w:w="11907" w:h="16840" w:code="9"/>
      <w:pgMar w:top="2268" w:right="1043" w:bottom="992" w:left="1729" w:header="113" w:footer="596" w:gutter="227"/>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BCE" w:rsidRDefault="00C93BCE">
      <w:r>
        <w:separator/>
      </w:r>
    </w:p>
  </w:endnote>
  <w:endnote w:type="continuationSeparator" w:id="0">
    <w:p w:rsidR="00C93BCE" w:rsidRDefault="00C93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CE" w:rsidRDefault="008A2A4B" w:rsidP="00985B5C">
    <w:pPr>
      <w:pStyle w:val="Footer"/>
      <w:framePr w:wrap="around" w:vAnchor="text" w:hAnchor="margin" w:xAlign="center" w:y="1"/>
      <w:rPr>
        <w:rStyle w:val="PageNumber"/>
      </w:rPr>
    </w:pPr>
    <w:r>
      <w:rPr>
        <w:rStyle w:val="PageNumber"/>
      </w:rPr>
      <w:fldChar w:fldCharType="begin"/>
    </w:r>
    <w:r w:rsidR="00C93BCE">
      <w:rPr>
        <w:rStyle w:val="PageNumber"/>
      </w:rPr>
      <w:instrText xml:space="preserve">PAGE  </w:instrText>
    </w:r>
    <w:r>
      <w:rPr>
        <w:rStyle w:val="PageNumber"/>
      </w:rPr>
      <w:fldChar w:fldCharType="separate"/>
    </w:r>
    <w:r w:rsidR="00C93BCE">
      <w:rPr>
        <w:rStyle w:val="PageNumber"/>
        <w:noProof/>
      </w:rPr>
      <w:t>4</w:t>
    </w:r>
    <w:r>
      <w:rPr>
        <w:rStyle w:val="PageNumber"/>
      </w:rPr>
      <w:fldChar w:fldCharType="end"/>
    </w:r>
  </w:p>
  <w:p w:rsidR="00C93BCE" w:rsidRDefault="00C93B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CE" w:rsidRDefault="008A2A4B" w:rsidP="00002BF3">
    <w:pPr>
      <w:pStyle w:val="Footer"/>
      <w:framePr w:wrap="around" w:vAnchor="text" w:hAnchor="margin" w:xAlign="center" w:y="1"/>
      <w:ind w:left="5040" w:firstLine="3600"/>
      <w:rPr>
        <w:rStyle w:val="PageNumber"/>
      </w:rPr>
    </w:pPr>
    <w:r>
      <w:rPr>
        <w:rStyle w:val="PageNumber"/>
      </w:rPr>
      <w:fldChar w:fldCharType="begin"/>
    </w:r>
    <w:r w:rsidR="00C93BCE">
      <w:rPr>
        <w:rStyle w:val="PageNumber"/>
      </w:rPr>
      <w:instrText xml:space="preserve">PAGE  </w:instrText>
    </w:r>
    <w:r>
      <w:rPr>
        <w:rStyle w:val="PageNumber"/>
      </w:rPr>
      <w:fldChar w:fldCharType="separate"/>
    </w:r>
    <w:r w:rsidR="00934F78">
      <w:rPr>
        <w:rStyle w:val="PageNumber"/>
        <w:noProof/>
      </w:rPr>
      <w:t>7</w:t>
    </w:r>
    <w:r>
      <w:rPr>
        <w:rStyle w:val="PageNumber"/>
      </w:rPr>
      <w:fldChar w:fldCharType="end"/>
    </w:r>
  </w:p>
  <w:p w:rsidR="00C93BCE" w:rsidRDefault="00C93BCE" w:rsidP="00985B5C">
    <w:pPr>
      <w:pStyle w:val="Footer"/>
      <w:framePr w:wrap="around" w:vAnchor="text" w:hAnchor="margin" w:xAlign="center" w:y="1"/>
      <w:ind w:right="360"/>
      <w:rPr>
        <w:rStyle w:val="PageNumber"/>
      </w:rPr>
    </w:pPr>
  </w:p>
  <w:p w:rsidR="00C93BCE" w:rsidRDefault="00C93B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6D" w:rsidRDefault="00753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BCE" w:rsidRDefault="00C93BCE">
      <w:r>
        <w:separator/>
      </w:r>
    </w:p>
  </w:footnote>
  <w:footnote w:type="continuationSeparator" w:id="0">
    <w:p w:rsidR="00C93BCE" w:rsidRDefault="00C93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6D" w:rsidRDefault="00753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CE" w:rsidRDefault="00C93BCE" w:rsidP="00D1598F">
    <w:pPr>
      <w:pStyle w:val="Header"/>
      <w:snapToGrid w:val="0"/>
      <w:jc w:val="center"/>
      <w:outlineLvl w:val="3"/>
    </w:pPr>
    <w:r>
      <w:rPr>
        <w:noProof/>
      </w:rPr>
      <w:drawing>
        <wp:inline distT="0" distB="0" distL="0" distR="0">
          <wp:extent cx="2571750" cy="6572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657225"/>
                  </a:xfrm>
                  <a:prstGeom prst="rect">
                    <a:avLst/>
                  </a:prstGeom>
                  <a:noFill/>
                  <a:ln w="9525">
                    <a:noFill/>
                    <a:miter lim="800000"/>
                    <a:headEnd/>
                    <a:tailEnd/>
                  </a:ln>
                </pic:spPr>
              </pic:pic>
            </a:graphicData>
          </a:graphic>
        </wp:inline>
      </w:drawing>
    </w:r>
    <w:r w:rsidRPr="00D1598F">
      <w:t xml:space="preserve"> </w:t>
    </w:r>
  </w:p>
  <w:p w:rsidR="00C93BCE" w:rsidRDefault="00C93BCE" w:rsidP="00D1598F">
    <w:pPr>
      <w:pStyle w:val="Header"/>
      <w:snapToGrid w:val="0"/>
      <w:jc w:val="center"/>
      <w:outlineLvl w:val="3"/>
    </w:pPr>
    <w:r>
      <w:t>(Company Number 548078-H)</w:t>
    </w:r>
  </w:p>
  <w:p w:rsidR="00C93BCE" w:rsidRDefault="00C93BCE" w:rsidP="00D1598F">
    <w:pPr>
      <w:pStyle w:val="Header"/>
      <w:snapToGrid w:val="0"/>
      <w:jc w:val="center"/>
      <w:outlineLvl w:val="3"/>
    </w:pPr>
  </w:p>
  <w:p w:rsidR="00C93BCE" w:rsidRPr="00D1598F" w:rsidRDefault="00C93BCE" w:rsidP="00D1598F">
    <w:pPr>
      <w:pStyle w:val="Header"/>
      <w:snapToGrid w:val="0"/>
      <w:jc w:val="center"/>
      <w:outlineLvl w:val="3"/>
      <w:rPr>
        <w:b/>
        <w:sz w:val="22"/>
        <w:szCs w:val="22"/>
      </w:rPr>
    </w:pPr>
    <w:r w:rsidRPr="00D1598F">
      <w:rPr>
        <w:b/>
        <w:sz w:val="22"/>
        <w:szCs w:val="22"/>
      </w:rPr>
      <w:t>INTERIM REPORT FOR THE QUARTER ENDED 3</w:t>
    </w:r>
    <w:r>
      <w:rPr>
        <w:b/>
        <w:sz w:val="22"/>
        <w:szCs w:val="22"/>
      </w:rPr>
      <w:t>1</w:t>
    </w:r>
    <w:r w:rsidRPr="00D1598F">
      <w:rPr>
        <w:b/>
        <w:sz w:val="22"/>
        <w:szCs w:val="22"/>
      </w:rPr>
      <w:t xml:space="preserve"> </w:t>
    </w:r>
    <w:r>
      <w:rPr>
        <w:b/>
        <w:sz w:val="22"/>
        <w:szCs w:val="22"/>
      </w:rPr>
      <w:t>DEC</w:t>
    </w:r>
    <w:r w:rsidRPr="00D1598F">
      <w:rPr>
        <w:b/>
        <w:sz w:val="22"/>
        <w:szCs w:val="22"/>
      </w:rPr>
      <w:t xml:space="preserve"> 2011</w:t>
    </w:r>
    <w:r>
      <w:rPr>
        <w:b/>
        <w:sz w:val="22"/>
        <w:szCs w:val="22"/>
      </w:rPr>
      <w:t xml:space="preserve"> (UNAUDITED)</w:t>
    </w:r>
  </w:p>
  <w:p w:rsidR="00C93BCE" w:rsidRDefault="00C93B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6D" w:rsidRDefault="007533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57C"/>
    <w:multiLevelType w:val="hybridMultilevel"/>
    <w:tmpl w:val="0A0004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1BD6C2A"/>
    <w:multiLevelType w:val="hybridMultilevel"/>
    <w:tmpl w:val="310ABE00"/>
    <w:lvl w:ilvl="0" w:tplc="5A1AFA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F80FFF"/>
    <w:multiLevelType w:val="hybridMultilevel"/>
    <w:tmpl w:val="D172B89A"/>
    <w:lvl w:ilvl="0" w:tplc="15E8B6D6">
      <w:start w:val="2"/>
      <w:numFmt w:val="lowerRoman"/>
      <w:lvlText w:val="%1)"/>
      <w:lvlJc w:val="left"/>
      <w:pPr>
        <w:tabs>
          <w:tab w:val="num" w:pos="1440"/>
        </w:tabs>
        <w:ind w:left="1440" w:hanging="720"/>
      </w:pPr>
      <w:rPr>
        <w:rFonts w:hint="default"/>
      </w:rPr>
    </w:lvl>
    <w:lvl w:ilvl="1" w:tplc="44090019" w:tentative="1">
      <w:start w:val="1"/>
      <w:numFmt w:val="lowerLetter"/>
      <w:lvlText w:val="%2."/>
      <w:lvlJc w:val="left"/>
      <w:pPr>
        <w:tabs>
          <w:tab w:val="num" w:pos="1800"/>
        </w:tabs>
        <w:ind w:left="1800" w:hanging="360"/>
      </w:pPr>
    </w:lvl>
    <w:lvl w:ilvl="2" w:tplc="4409001B" w:tentative="1">
      <w:start w:val="1"/>
      <w:numFmt w:val="lowerRoman"/>
      <w:lvlText w:val="%3."/>
      <w:lvlJc w:val="right"/>
      <w:pPr>
        <w:tabs>
          <w:tab w:val="num" w:pos="2520"/>
        </w:tabs>
        <w:ind w:left="2520" w:hanging="180"/>
      </w:pPr>
    </w:lvl>
    <w:lvl w:ilvl="3" w:tplc="4409000F" w:tentative="1">
      <w:start w:val="1"/>
      <w:numFmt w:val="decimal"/>
      <w:lvlText w:val="%4."/>
      <w:lvlJc w:val="left"/>
      <w:pPr>
        <w:tabs>
          <w:tab w:val="num" w:pos="3240"/>
        </w:tabs>
        <w:ind w:left="3240" w:hanging="360"/>
      </w:pPr>
    </w:lvl>
    <w:lvl w:ilvl="4" w:tplc="44090019" w:tentative="1">
      <w:start w:val="1"/>
      <w:numFmt w:val="lowerLetter"/>
      <w:lvlText w:val="%5."/>
      <w:lvlJc w:val="left"/>
      <w:pPr>
        <w:tabs>
          <w:tab w:val="num" w:pos="3960"/>
        </w:tabs>
        <w:ind w:left="3960" w:hanging="360"/>
      </w:pPr>
    </w:lvl>
    <w:lvl w:ilvl="5" w:tplc="4409001B" w:tentative="1">
      <w:start w:val="1"/>
      <w:numFmt w:val="lowerRoman"/>
      <w:lvlText w:val="%6."/>
      <w:lvlJc w:val="right"/>
      <w:pPr>
        <w:tabs>
          <w:tab w:val="num" w:pos="4680"/>
        </w:tabs>
        <w:ind w:left="4680" w:hanging="180"/>
      </w:pPr>
    </w:lvl>
    <w:lvl w:ilvl="6" w:tplc="4409000F" w:tentative="1">
      <w:start w:val="1"/>
      <w:numFmt w:val="decimal"/>
      <w:lvlText w:val="%7."/>
      <w:lvlJc w:val="left"/>
      <w:pPr>
        <w:tabs>
          <w:tab w:val="num" w:pos="5400"/>
        </w:tabs>
        <w:ind w:left="5400" w:hanging="360"/>
      </w:pPr>
    </w:lvl>
    <w:lvl w:ilvl="7" w:tplc="44090019" w:tentative="1">
      <w:start w:val="1"/>
      <w:numFmt w:val="lowerLetter"/>
      <w:lvlText w:val="%8."/>
      <w:lvlJc w:val="left"/>
      <w:pPr>
        <w:tabs>
          <w:tab w:val="num" w:pos="6120"/>
        </w:tabs>
        <w:ind w:left="6120" w:hanging="360"/>
      </w:pPr>
    </w:lvl>
    <w:lvl w:ilvl="8" w:tplc="4409001B" w:tentative="1">
      <w:start w:val="1"/>
      <w:numFmt w:val="lowerRoman"/>
      <w:lvlText w:val="%9."/>
      <w:lvlJc w:val="right"/>
      <w:pPr>
        <w:tabs>
          <w:tab w:val="num" w:pos="6840"/>
        </w:tabs>
        <w:ind w:left="6840" w:hanging="180"/>
      </w:pPr>
    </w:lvl>
  </w:abstractNum>
  <w:abstractNum w:abstractNumId="3">
    <w:nsid w:val="09151612"/>
    <w:multiLevelType w:val="hybridMultilevel"/>
    <w:tmpl w:val="B0B21B6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7773DC"/>
    <w:multiLevelType w:val="singleLevel"/>
    <w:tmpl w:val="85B4B3CE"/>
    <w:lvl w:ilvl="0">
      <w:start w:val="11"/>
      <w:numFmt w:val="decimal"/>
      <w:pStyle w:val="Heading8"/>
      <w:lvlText w:val="%1"/>
      <w:lvlJc w:val="left"/>
      <w:pPr>
        <w:tabs>
          <w:tab w:val="num" w:pos="720"/>
        </w:tabs>
        <w:ind w:left="720" w:hanging="720"/>
      </w:pPr>
      <w:rPr>
        <w:rFonts w:hint="default"/>
      </w:rPr>
    </w:lvl>
  </w:abstractNum>
  <w:abstractNum w:abstractNumId="5">
    <w:nsid w:val="11312C59"/>
    <w:multiLevelType w:val="hybridMultilevel"/>
    <w:tmpl w:val="2E54A13A"/>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6">
    <w:nsid w:val="19D0743D"/>
    <w:multiLevelType w:val="hybridMultilevel"/>
    <w:tmpl w:val="CF52F4A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691640"/>
    <w:multiLevelType w:val="hybridMultilevel"/>
    <w:tmpl w:val="42EE0F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90A3143"/>
    <w:multiLevelType w:val="singleLevel"/>
    <w:tmpl w:val="48B6FFA8"/>
    <w:lvl w:ilvl="0">
      <w:start w:val="1"/>
      <w:numFmt w:val="decimal"/>
      <w:pStyle w:val="Heading2"/>
      <w:lvlText w:val="%1"/>
      <w:lvlJc w:val="left"/>
      <w:pPr>
        <w:tabs>
          <w:tab w:val="num" w:pos="720"/>
        </w:tabs>
        <w:ind w:left="720" w:hanging="720"/>
      </w:pPr>
      <w:rPr>
        <w:rFonts w:hint="default"/>
      </w:rPr>
    </w:lvl>
  </w:abstractNum>
  <w:abstractNum w:abstractNumId="9">
    <w:nsid w:val="2C0E6115"/>
    <w:multiLevelType w:val="hybridMultilevel"/>
    <w:tmpl w:val="81AC39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EAC45B9"/>
    <w:multiLevelType w:val="hybridMultilevel"/>
    <w:tmpl w:val="F350C5A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AE6862"/>
    <w:multiLevelType w:val="singleLevel"/>
    <w:tmpl w:val="D9BE04B0"/>
    <w:lvl w:ilvl="0">
      <w:start w:val="1"/>
      <w:numFmt w:val="decimal"/>
      <w:pStyle w:val="Heading4"/>
      <w:lvlText w:val="%1"/>
      <w:lvlJc w:val="left"/>
      <w:pPr>
        <w:tabs>
          <w:tab w:val="num" w:pos="360"/>
        </w:tabs>
        <w:ind w:left="360" w:hanging="360"/>
      </w:pPr>
      <w:rPr>
        <w:rFonts w:hint="default"/>
        <w:b w:val="0"/>
      </w:rPr>
    </w:lvl>
  </w:abstractNum>
  <w:abstractNum w:abstractNumId="12">
    <w:nsid w:val="355532B3"/>
    <w:multiLevelType w:val="hybridMultilevel"/>
    <w:tmpl w:val="7CCAE162"/>
    <w:lvl w:ilvl="0" w:tplc="16F2A19A">
      <w:start w:val="2"/>
      <w:numFmt w:val="decimal"/>
      <w:lvlText w:val="%1."/>
      <w:lvlJc w:val="left"/>
      <w:pPr>
        <w:tabs>
          <w:tab w:val="num" w:pos="1080"/>
        </w:tabs>
        <w:ind w:left="1080" w:hanging="720"/>
      </w:pPr>
      <w:rPr>
        <w:rFonts w:hint="default"/>
      </w:rPr>
    </w:lvl>
    <w:lvl w:ilvl="1" w:tplc="06F06B02">
      <w:start w:val="1"/>
      <w:numFmt w:val="lowerLetter"/>
      <w:lvlText w:val="%2)"/>
      <w:lvlJc w:val="left"/>
      <w:pPr>
        <w:tabs>
          <w:tab w:val="num" w:pos="1530"/>
        </w:tabs>
        <w:ind w:left="1530" w:hanging="45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0D31DE"/>
    <w:multiLevelType w:val="hybridMultilevel"/>
    <w:tmpl w:val="4748F7AC"/>
    <w:lvl w:ilvl="0" w:tplc="5F48B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5C596B"/>
    <w:multiLevelType w:val="hybridMultilevel"/>
    <w:tmpl w:val="77DC9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C7995"/>
    <w:multiLevelType w:val="hybridMultilevel"/>
    <w:tmpl w:val="D530483C"/>
    <w:lvl w:ilvl="0" w:tplc="C50A8976">
      <w:start w:val="9"/>
      <w:numFmt w:val="lowerLetter"/>
      <w:lvlText w:val="%1)"/>
      <w:lvlJc w:val="left"/>
      <w:pPr>
        <w:tabs>
          <w:tab w:val="num" w:pos="2160"/>
        </w:tabs>
        <w:ind w:left="2160" w:hanging="720"/>
      </w:pPr>
      <w:rPr>
        <w:rFonts w:hint="default"/>
      </w:rPr>
    </w:lvl>
    <w:lvl w:ilvl="1" w:tplc="44090019" w:tentative="1">
      <w:start w:val="1"/>
      <w:numFmt w:val="lowerLetter"/>
      <w:lvlText w:val="%2."/>
      <w:lvlJc w:val="left"/>
      <w:pPr>
        <w:tabs>
          <w:tab w:val="num" w:pos="2520"/>
        </w:tabs>
        <w:ind w:left="2520" w:hanging="360"/>
      </w:pPr>
    </w:lvl>
    <w:lvl w:ilvl="2" w:tplc="4409001B" w:tentative="1">
      <w:start w:val="1"/>
      <w:numFmt w:val="lowerRoman"/>
      <w:lvlText w:val="%3."/>
      <w:lvlJc w:val="right"/>
      <w:pPr>
        <w:tabs>
          <w:tab w:val="num" w:pos="3240"/>
        </w:tabs>
        <w:ind w:left="3240" w:hanging="180"/>
      </w:pPr>
    </w:lvl>
    <w:lvl w:ilvl="3" w:tplc="4409000F" w:tentative="1">
      <w:start w:val="1"/>
      <w:numFmt w:val="decimal"/>
      <w:lvlText w:val="%4."/>
      <w:lvlJc w:val="left"/>
      <w:pPr>
        <w:tabs>
          <w:tab w:val="num" w:pos="3960"/>
        </w:tabs>
        <w:ind w:left="3960" w:hanging="360"/>
      </w:pPr>
    </w:lvl>
    <w:lvl w:ilvl="4" w:tplc="44090019" w:tentative="1">
      <w:start w:val="1"/>
      <w:numFmt w:val="lowerLetter"/>
      <w:lvlText w:val="%5."/>
      <w:lvlJc w:val="left"/>
      <w:pPr>
        <w:tabs>
          <w:tab w:val="num" w:pos="4680"/>
        </w:tabs>
        <w:ind w:left="4680" w:hanging="360"/>
      </w:pPr>
    </w:lvl>
    <w:lvl w:ilvl="5" w:tplc="4409001B" w:tentative="1">
      <w:start w:val="1"/>
      <w:numFmt w:val="lowerRoman"/>
      <w:lvlText w:val="%6."/>
      <w:lvlJc w:val="right"/>
      <w:pPr>
        <w:tabs>
          <w:tab w:val="num" w:pos="5400"/>
        </w:tabs>
        <w:ind w:left="5400" w:hanging="180"/>
      </w:pPr>
    </w:lvl>
    <w:lvl w:ilvl="6" w:tplc="4409000F" w:tentative="1">
      <w:start w:val="1"/>
      <w:numFmt w:val="decimal"/>
      <w:lvlText w:val="%7."/>
      <w:lvlJc w:val="left"/>
      <w:pPr>
        <w:tabs>
          <w:tab w:val="num" w:pos="6120"/>
        </w:tabs>
        <w:ind w:left="6120" w:hanging="360"/>
      </w:pPr>
    </w:lvl>
    <w:lvl w:ilvl="7" w:tplc="44090019" w:tentative="1">
      <w:start w:val="1"/>
      <w:numFmt w:val="lowerLetter"/>
      <w:lvlText w:val="%8."/>
      <w:lvlJc w:val="left"/>
      <w:pPr>
        <w:tabs>
          <w:tab w:val="num" w:pos="6840"/>
        </w:tabs>
        <w:ind w:left="6840" w:hanging="360"/>
      </w:pPr>
    </w:lvl>
    <w:lvl w:ilvl="8" w:tplc="4409001B" w:tentative="1">
      <w:start w:val="1"/>
      <w:numFmt w:val="lowerRoman"/>
      <w:lvlText w:val="%9."/>
      <w:lvlJc w:val="right"/>
      <w:pPr>
        <w:tabs>
          <w:tab w:val="num" w:pos="7560"/>
        </w:tabs>
        <w:ind w:left="7560" w:hanging="180"/>
      </w:pPr>
    </w:lvl>
  </w:abstractNum>
  <w:abstractNum w:abstractNumId="16">
    <w:nsid w:val="6D216C8C"/>
    <w:multiLevelType w:val="hybridMultilevel"/>
    <w:tmpl w:val="7A0244A4"/>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746E5E1B"/>
    <w:multiLevelType w:val="hybridMultilevel"/>
    <w:tmpl w:val="FCEC7C1C"/>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77B10C63"/>
    <w:multiLevelType w:val="hybridMultilevel"/>
    <w:tmpl w:val="29586FC6"/>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num w:numId="1">
    <w:abstractNumId w:val="8"/>
  </w:num>
  <w:num w:numId="2">
    <w:abstractNumId w:val="11"/>
  </w:num>
  <w:num w:numId="3">
    <w:abstractNumId w:val="4"/>
  </w:num>
  <w:num w:numId="4">
    <w:abstractNumId w:val="12"/>
  </w:num>
  <w:num w:numId="5">
    <w:abstractNumId w:val="10"/>
  </w:num>
  <w:num w:numId="6">
    <w:abstractNumId w:val="6"/>
  </w:num>
  <w:num w:numId="7">
    <w:abstractNumId w:val="3"/>
  </w:num>
  <w:num w:numId="8">
    <w:abstractNumId w:val="15"/>
  </w:num>
  <w:num w:numId="9">
    <w:abstractNumId w:val="2"/>
  </w:num>
  <w:num w:numId="10">
    <w:abstractNumId w:val="18"/>
  </w:num>
  <w:num w:numId="11">
    <w:abstractNumId w:val="7"/>
  </w:num>
  <w:num w:numId="12">
    <w:abstractNumId w:val="9"/>
  </w:num>
  <w:num w:numId="13">
    <w:abstractNumId w:val="0"/>
  </w:num>
  <w:num w:numId="14">
    <w:abstractNumId w:val="5"/>
  </w:num>
  <w:num w:numId="15">
    <w:abstractNumId w:val="13"/>
  </w:num>
  <w:num w:numId="16">
    <w:abstractNumId w:val="1"/>
  </w:num>
  <w:num w:numId="17">
    <w:abstractNumId w:val="14"/>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rsids>
    <w:rsidRoot w:val="006818C6"/>
    <w:rsid w:val="00000559"/>
    <w:rsid w:val="00002B94"/>
    <w:rsid w:val="00002BF3"/>
    <w:rsid w:val="000031ED"/>
    <w:rsid w:val="00003D4D"/>
    <w:rsid w:val="000072A4"/>
    <w:rsid w:val="00022117"/>
    <w:rsid w:val="00027799"/>
    <w:rsid w:val="00032FB2"/>
    <w:rsid w:val="00037FB6"/>
    <w:rsid w:val="00051FF0"/>
    <w:rsid w:val="00052A69"/>
    <w:rsid w:val="0005319D"/>
    <w:rsid w:val="00054DD9"/>
    <w:rsid w:val="0005798E"/>
    <w:rsid w:val="000620B8"/>
    <w:rsid w:val="0006630C"/>
    <w:rsid w:val="00067B75"/>
    <w:rsid w:val="00067FB6"/>
    <w:rsid w:val="000700D6"/>
    <w:rsid w:val="00070C1F"/>
    <w:rsid w:val="0007458F"/>
    <w:rsid w:val="00077D5E"/>
    <w:rsid w:val="0008397F"/>
    <w:rsid w:val="00083AD8"/>
    <w:rsid w:val="00087F76"/>
    <w:rsid w:val="00096281"/>
    <w:rsid w:val="000A0A3D"/>
    <w:rsid w:val="000A165E"/>
    <w:rsid w:val="000A1FFE"/>
    <w:rsid w:val="000A26B8"/>
    <w:rsid w:val="000A3A2E"/>
    <w:rsid w:val="000A49E0"/>
    <w:rsid w:val="000A545C"/>
    <w:rsid w:val="000B1F01"/>
    <w:rsid w:val="000B213C"/>
    <w:rsid w:val="000B2AF2"/>
    <w:rsid w:val="000B41B2"/>
    <w:rsid w:val="000B676A"/>
    <w:rsid w:val="000C4979"/>
    <w:rsid w:val="000C61B0"/>
    <w:rsid w:val="000C6296"/>
    <w:rsid w:val="000C6895"/>
    <w:rsid w:val="000E2E4E"/>
    <w:rsid w:val="000F1729"/>
    <w:rsid w:val="000F2614"/>
    <w:rsid w:val="000F71D4"/>
    <w:rsid w:val="001074B6"/>
    <w:rsid w:val="00111504"/>
    <w:rsid w:val="001123D8"/>
    <w:rsid w:val="00112C58"/>
    <w:rsid w:val="00113851"/>
    <w:rsid w:val="00115BEC"/>
    <w:rsid w:val="00125433"/>
    <w:rsid w:val="001259A3"/>
    <w:rsid w:val="001268AD"/>
    <w:rsid w:val="00130357"/>
    <w:rsid w:val="00133B38"/>
    <w:rsid w:val="001506D6"/>
    <w:rsid w:val="0015129F"/>
    <w:rsid w:val="001535E3"/>
    <w:rsid w:val="001541B1"/>
    <w:rsid w:val="001626F8"/>
    <w:rsid w:val="001636BF"/>
    <w:rsid w:val="00163C98"/>
    <w:rsid w:val="00165E1C"/>
    <w:rsid w:val="00167828"/>
    <w:rsid w:val="0017283B"/>
    <w:rsid w:val="00185729"/>
    <w:rsid w:val="00193C9B"/>
    <w:rsid w:val="001974F8"/>
    <w:rsid w:val="001A4EAC"/>
    <w:rsid w:val="001B5A37"/>
    <w:rsid w:val="001B6D39"/>
    <w:rsid w:val="001C05A6"/>
    <w:rsid w:val="001C61BA"/>
    <w:rsid w:val="001D35E9"/>
    <w:rsid w:val="001E5406"/>
    <w:rsid w:val="001F75F2"/>
    <w:rsid w:val="0021143E"/>
    <w:rsid w:val="002166D6"/>
    <w:rsid w:val="002256DA"/>
    <w:rsid w:val="00227598"/>
    <w:rsid w:val="002313BA"/>
    <w:rsid w:val="00233A92"/>
    <w:rsid w:val="00236B90"/>
    <w:rsid w:val="0023773C"/>
    <w:rsid w:val="0025086C"/>
    <w:rsid w:val="002522AC"/>
    <w:rsid w:val="00255250"/>
    <w:rsid w:val="00260353"/>
    <w:rsid w:val="00272E60"/>
    <w:rsid w:val="002745B3"/>
    <w:rsid w:val="002844C4"/>
    <w:rsid w:val="00285568"/>
    <w:rsid w:val="00292583"/>
    <w:rsid w:val="002976D1"/>
    <w:rsid w:val="002A0A0F"/>
    <w:rsid w:val="002C4D19"/>
    <w:rsid w:val="002C642B"/>
    <w:rsid w:val="002D1E24"/>
    <w:rsid w:val="002D383F"/>
    <w:rsid w:val="002E3E91"/>
    <w:rsid w:val="002E5BFD"/>
    <w:rsid w:val="002E5BFE"/>
    <w:rsid w:val="002E6F00"/>
    <w:rsid w:val="002F3E6F"/>
    <w:rsid w:val="0030492B"/>
    <w:rsid w:val="00306A0A"/>
    <w:rsid w:val="00312564"/>
    <w:rsid w:val="00321F2E"/>
    <w:rsid w:val="00322ABD"/>
    <w:rsid w:val="003249C3"/>
    <w:rsid w:val="00326335"/>
    <w:rsid w:val="0032742F"/>
    <w:rsid w:val="0033231B"/>
    <w:rsid w:val="003378BF"/>
    <w:rsid w:val="00337AC5"/>
    <w:rsid w:val="003428ED"/>
    <w:rsid w:val="003442AB"/>
    <w:rsid w:val="00350635"/>
    <w:rsid w:val="003515F7"/>
    <w:rsid w:val="0036092F"/>
    <w:rsid w:val="00360D3E"/>
    <w:rsid w:val="003660F3"/>
    <w:rsid w:val="00372833"/>
    <w:rsid w:val="003737D6"/>
    <w:rsid w:val="003755E9"/>
    <w:rsid w:val="00376BC7"/>
    <w:rsid w:val="00377E88"/>
    <w:rsid w:val="003800BF"/>
    <w:rsid w:val="0038143D"/>
    <w:rsid w:val="00382AF7"/>
    <w:rsid w:val="00385B59"/>
    <w:rsid w:val="00393E5B"/>
    <w:rsid w:val="00394F0C"/>
    <w:rsid w:val="003A0CBD"/>
    <w:rsid w:val="003A3FF5"/>
    <w:rsid w:val="003A57C2"/>
    <w:rsid w:val="003A5E62"/>
    <w:rsid w:val="003A6447"/>
    <w:rsid w:val="003A6769"/>
    <w:rsid w:val="003B4EB1"/>
    <w:rsid w:val="003B535C"/>
    <w:rsid w:val="003C0079"/>
    <w:rsid w:val="003D3E5F"/>
    <w:rsid w:val="003D6DFF"/>
    <w:rsid w:val="003D7A01"/>
    <w:rsid w:val="003D7C47"/>
    <w:rsid w:val="003E0B9E"/>
    <w:rsid w:val="003E49AA"/>
    <w:rsid w:val="003E781B"/>
    <w:rsid w:val="003F240C"/>
    <w:rsid w:val="003F417D"/>
    <w:rsid w:val="003F5AD3"/>
    <w:rsid w:val="00400BE6"/>
    <w:rsid w:val="00401B4E"/>
    <w:rsid w:val="00406F2F"/>
    <w:rsid w:val="004219EF"/>
    <w:rsid w:val="00431B89"/>
    <w:rsid w:val="00433009"/>
    <w:rsid w:val="0044413C"/>
    <w:rsid w:val="00450EC5"/>
    <w:rsid w:val="004556F5"/>
    <w:rsid w:val="00455E18"/>
    <w:rsid w:val="004566A4"/>
    <w:rsid w:val="00466524"/>
    <w:rsid w:val="00470D06"/>
    <w:rsid w:val="00470E0D"/>
    <w:rsid w:val="00472EF6"/>
    <w:rsid w:val="00483F32"/>
    <w:rsid w:val="0048683A"/>
    <w:rsid w:val="004910DA"/>
    <w:rsid w:val="00497001"/>
    <w:rsid w:val="00497AFD"/>
    <w:rsid w:val="004A3FDC"/>
    <w:rsid w:val="004A57DA"/>
    <w:rsid w:val="004A7D70"/>
    <w:rsid w:val="004B0184"/>
    <w:rsid w:val="004B1DD7"/>
    <w:rsid w:val="004B4C15"/>
    <w:rsid w:val="004C040E"/>
    <w:rsid w:val="004C5B5D"/>
    <w:rsid w:val="004D4E9A"/>
    <w:rsid w:val="004E28CA"/>
    <w:rsid w:val="004F135A"/>
    <w:rsid w:val="004F6BBD"/>
    <w:rsid w:val="0050230C"/>
    <w:rsid w:val="00506017"/>
    <w:rsid w:val="005177C9"/>
    <w:rsid w:val="00523580"/>
    <w:rsid w:val="00525598"/>
    <w:rsid w:val="005266AD"/>
    <w:rsid w:val="00531861"/>
    <w:rsid w:val="00535186"/>
    <w:rsid w:val="0054574F"/>
    <w:rsid w:val="005474C7"/>
    <w:rsid w:val="00551FB7"/>
    <w:rsid w:val="00556981"/>
    <w:rsid w:val="00563804"/>
    <w:rsid w:val="00564035"/>
    <w:rsid w:val="00570B81"/>
    <w:rsid w:val="00571BE6"/>
    <w:rsid w:val="00575B65"/>
    <w:rsid w:val="00582FCF"/>
    <w:rsid w:val="00583541"/>
    <w:rsid w:val="005A0376"/>
    <w:rsid w:val="005A131D"/>
    <w:rsid w:val="005D2F44"/>
    <w:rsid w:val="005D534D"/>
    <w:rsid w:val="005D5AA0"/>
    <w:rsid w:val="005E3BDA"/>
    <w:rsid w:val="005F1943"/>
    <w:rsid w:val="005F2F69"/>
    <w:rsid w:val="005F7ACD"/>
    <w:rsid w:val="005F7B4F"/>
    <w:rsid w:val="00605A44"/>
    <w:rsid w:val="00611AFA"/>
    <w:rsid w:val="0063787B"/>
    <w:rsid w:val="00637910"/>
    <w:rsid w:val="00640EED"/>
    <w:rsid w:val="00644031"/>
    <w:rsid w:val="00644242"/>
    <w:rsid w:val="00644EDA"/>
    <w:rsid w:val="00650CE4"/>
    <w:rsid w:val="0065504A"/>
    <w:rsid w:val="00671765"/>
    <w:rsid w:val="00672787"/>
    <w:rsid w:val="00674CF4"/>
    <w:rsid w:val="006818C6"/>
    <w:rsid w:val="00690A51"/>
    <w:rsid w:val="0069326A"/>
    <w:rsid w:val="00696202"/>
    <w:rsid w:val="00697EA7"/>
    <w:rsid w:val="006A2D72"/>
    <w:rsid w:val="006A2F48"/>
    <w:rsid w:val="006A75D7"/>
    <w:rsid w:val="006B16D8"/>
    <w:rsid w:val="006B4DB2"/>
    <w:rsid w:val="006D18A3"/>
    <w:rsid w:val="006D4A9A"/>
    <w:rsid w:val="006D5906"/>
    <w:rsid w:val="006E2FBA"/>
    <w:rsid w:val="006E4FB9"/>
    <w:rsid w:val="006F4431"/>
    <w:rsid w:val="006F5F26"/>
    <w:rsid w:val="006F7B12"/>
    <w:rsid w:val="0070210A"/>
    <w:rsid w:val="00713DCD"/>
    <w:rsid w:val="00714489"/>
    <w:rsid w:val="007248E5"/>
    <w:rsid w:val="007252BE"/>
    <w:rsid w:val="00727807"/>
    <w:rsid w:val="0074347F"/>
    <w:rsid w:val="00745704"/>
    <w:rsid w:val="00746F6B"/>
    <w:rsid w:val="00750196"/>
    <w:rsid w:val="0075336D"/>
    <w:rsid w:val="00766551"/>
    <w:rsid w:val="00767C0F"/>
    <w:rsid w:val="00770FEE"/>
    <w:rsid w:val="00771C01"/>
    <w:rsid w:val="007808E4"/>
    <w:rsid w:val="0078372D"/>
    <w:rsid w:val="00785381"/>
    <w:rsid w:val="007871DF"/>
    <w:rsid w:val="0079161E"/>
    <w:rsid w:val="00794117"/>
    <w:rsid w:val="007B4852"/>
    <w:rsid w:val="007B6E0F"/>
    <w:rsid w:val="007C672D"/>
    <w:rsid w:val="007D0B0F"/>
    <w:rsid w:val="007D2833"/>
    <w:rsid w:val="007D2862"/>
    <w:rsid w:val="007D2D77"/>
    <w:rsid w:val="007D2DBA"/>
    <w:rsid w:val="007E233F"/>
    <w:rsid w:val="007E31ED"/>
    <w:rsid w:val="007E5D95"/>
    <w:rsid w:val="007F37D8"/>
    <w:rsid w:val="007F42A9"/>
    <w:rsid w:val="00802DE9"/>
    <w:rsid w:val="008033B2"/>
    <w:rsid w:val="008055F8"/>
    <w:rsid w:val="008062CA"/>
    <w:rsid w:val="00810FAF"/>
    <w:rsid w:val="008141A2"/>
    <w:rsid w:val="008217D3"/>
    <w:rsid w:val="008366D4"/>
    <w:rsid w:val="00846CF3"/>
    <w:rsid w:val="00847D07"/>
    <w:rsid w:val="0085119E"/>
    <w:rsid w:val="0085360B"/>
    <w:rsid w:val="008571E7"/>
    <w:rsid w:val="008579B9"/>
    <w:rsid w:val="008606A5"/>
    <w:rsid w:val="00860FB1"/>
    <w:rsid w:val="00861565"/>
    <w:rsid w:val="008660B9"/>
    <w:rsid w:val="008671B3"/>
    <w:rsid w:val="008676F4"/>
    <w:rsid w:val="00870478"/>
    <w:rsid w:val="008704FF"/>
    <w:rsid w:val="00870622"/>
    <w:rsid w:val="00872219"/>
    <w:rsid w:val="008722BD"/>
    <w:rsid w:val="0087410C"/>
    <w:rsid w:val="008752BA"/>
    <w:rsid w:val="00877084"/>
    <w:rsid w:val="008846DD"/>
    <w:rsid w:val="00885041"/>
    <w:rsid w:val="0088589F"/>
    <w:rsid w:val="00885D87"/>
    <w:rsid w:val="00886922"/>
    <w:rsid w:val="008A0A36"/>
    <w:rsid w:val="008A2A4B"/>
    <w:rsid w:val="008A633A"/>
    <w:rsid w:val="008C352C"/>
    <w:rsid w:val="008C60F8"/>
    <w:rsid w:val="008D0C7C"/>
    <w:rsid w:val="008D1B74"/>
    <w:rsid w:val="008D28E4"/>
    <w:rsid w:val="008D51F9"/>
    <w:rsid w:val="008D7CC4"/>
    <w:rsid w:val="008E2719"/>
    <w:rsid w:val="008E4A00"/>
    <w:rsid w:val="008E632E"/>
    <w:rsid w:val="008F4131"/>
    <w:rsid w:val="008F77A5"/>
    <w:rsid w:val="00900003"/>
    <w:rsid w:val="00904195"/>
    <w:rsid w:val="00905CA0"/>
    <w:rsid w:val="009139A1"/>
    <w:rsid w:val="00921E47"/>
    <w:rsid w:val="009222F1"/>
    <w:rsid w:val="009240A6"/>
    <w:rsid w:val="009305FD"/>
    <w:rsid w:val="00931228"/>
    <w:rsid w:val="009321A2"/>
    <w:rsid w:val="00934F78"/>
    <w:rsid w:val="0094105C"/>
    <w:rsid w:val="009416AE"/>
    <w:rsid w:val="0094395B"/>
    <w:rsid w:val="00943DAB"/>
    <w:rsid w:val="0094471F"/>
    <w:rsid w:val="00945B6B"/>
    <w:rsid w:val="00946E19"/>
    <w:rsid w:val="0094780D"/>
    <w:rsid w:val="009519BA"/>
    <w:rsid w:val="00952867"/>
    <w:rsid w:val="00956ECC"/>
    <w:rsid w:val="00960B8B"/>
    <w:rsid w:val="00964223"/>
    <w:rsid w:val="00966764"/>
    <w:rsid w:val="00971782"/>
    <w:rsid w:val="00974453"/>
    <w:rsid w:val="00975F1E"/>
    <w:rsid w:val="00982C8C"/>
    <w:rsid w:val="00985B5C"/>
    <w:rsid w:val="009900D5"/>
    <w:rsid w:val="009905CE"/>
    <w:rsid w:val="00995C7B"/>
    <w:rsid w:val="00996A0F"/>
    <w:rsid w:val="00997F63"/>
    <w:rsid w:val="009A0DF3"/>
    <w:rsid w:val="009A40C5"/>
    <w:rsid w:val="009A4809"/>
    <w:rsid w:val="009A54D0"/>
    <w:rsid w:val="009A6A8E"/>
    <w:rsid w:val="009B1FF7"/>
    <w:rsid w:val="009B5F39"/>
    <w:rsid w:val="009C4AE6"/>
    <w:rsid w:val="009D04E2"/>
    <w:rsid w:val="009D1908"/>
    <w:rsid w:val="009D3AD2"/>
    <w:rsid w:val="009E0903"/>
    <w:rsid w:val="009E5315"/>
    <w:rsid w:val="009E70C9"/>
    <w:rsid w:val="009F2095"/>
    <w:rsid w:val="009F46F1"/>
    <w:rsid w:val="009F7CE4"/>
    <w:rsid w:val="00A02647"/>
    <w:rsid w:val="00A11825"/>
    <w:rsid w:val="00A12A09"/>
    <w:rsid w:val="00A17585"/>
    <w:rsid w:val="00A217B3"/>
    <w:rsid w:val="00A21FFD"/>
    <w:rsid w:val="00A31C6C"/>
    <w:rsid w:val="00A3633F"/>
    <w:rsid w:val="00A37788"/>
    <w:rsid w:val="00A469A6"/>
    <w:rsid w:val="00A54A7D"/>
    <w:rsid w:val="00A60C94"/>
    <w:rsid w:val="00A62032"/>
    <w:rsid w:val="00A64084"/>
    <w:rsid w:val="00A65BCF"/>
    <w:rsid w:val="00A6705D"/>
    <w:rsid w:val="00A700CA"/>
    <w:rsid w:val="00A71BD6"/>
    <w:rsid w:val="00A72744"/>
    <w:rsid w:val="00A737E8"/>
    <w:rsid w:val="00A7626D"/>
    <w:rsid w:val="00A805F3"/>
    <w:rsid w:val="00A86D0C"/>
    <w:rsid w:val="00A8769C"/>
    <w:rsid w:val="00A900CD"/>
    <w:rsid w:val="00A943E4"/>
    <w:rsid w:val="00AA436C"/>
    <w:rsid w:val="00AA71C5"/>
    <w:rsid w:val="00AB0DE9"/>
    <w:rsid w:val="00AB4123"/>
    <w:rsid w:val="00AC38B0"/>
    <w:rsid w:val="00AD0233"/>
    <w:rsid w:val="00AD4CBF"/>
    <w:rsid w:val="00AE09F7"/>
    <w:rsid w:val="00AE48F2"/>
    <w:rsid w:val="00AF6667"/>
    <w:rsid w:val="00AF6ED2"/>
    <w:rsid w:val="00B005DE"/>
    <w:rsid w:val="00B01A6D"/>
    <w:rsid w:val="00B029F3"/>
    <w:rsid w:val="00B02BAE"/>
    <w:rsid w:val="00B05780"/>
    <w:rsid w:val="00B062C1"/>
    <w:rsid w:val="00B242F3"/>
    <w:rsid w:val="00B27A08"/>
    <w:rsid w:val="00B33630"/>
    <w:rsid w:val="00B33925"/>
    <w:rsid w:val="00B33DE8"/>
    <w:rsid w:val="00B42139"/>
    <w:rsid w:val="00B47A49"/>
    <w:rsid w:val="00B5502C"/>
    <w:rsid w:val="00B6249E"/>
    <w:rsid w:val="00B70A94"/>
    <w:rsid w:val="00B724D9"/>
    <w:rsid w:val="00B73BB4"/>
    <w:rsid w:val="00B76D1B"/>
    <w:rsid w:val="00B84A93"/>
    <w:rsid w:val="00B851EC"/>
    <w:rsid w:val="00B919C1"/>
    <w:rsid w:val="00B95ACC"/>
    <w:rsid w:val="00B96ACE"/>
    <w:rsid w:val="00BA0996"/>
    <w:rsid w:val="00BA5E76"/>
    <w:rsid w:val="00BB0AC5"/>
    <w:rsid w:val="00BC2CE9"/>
    <w:rsid w:val="00BC4BEF"/>
    <w:rsid w:val="00BD147E"/>
    <w:rsid w:val="00BD32D9"/>
    <w:rsid w:val="00BD39B0"/>
    <w:rsid w:val="00BD4507"/>
    <w:rsid w:val="00BE26B4"/>
    <w:rsid w:val="00BE670F"/>
    <w:rsid w:val="00BF0A08"/>
    <w:rsid w:val="00BF35D8"/>
    <w:rsid w:val="00BF4051"/>
    <w:rsid w:val="00C04286"/>
    <w:rsid w:val="00C044B1"/>
    <w:rsid w:val="00C0717C"/>
    <w:rsid w:val="00C145C6"/>
    <w:rsid w:val="00C171D9"/>
    <w:rsid w:val="00C17E15"/>
    <w:rsid w:val="00C35E30"/>
    <w:rsid w:val="00C466DE"/>
    <w:rsid w:val="00C46FCB"/>
    <w:rsid w:val="00C50675"/>
    <w:rsid w:val="00C54999"/>
    <w:rsid w:val="00C54D45"/>
    <w:rsid w:val="00C70C1C"/>
    <w:rsid w:val="00C71478"/>
    <w:rsid w:val="00C71946"/>
    <w:rsid w:val="00C72C4E"/>
    <w:rsid w:val="00C8092E"/>
    <w:rsid w:val="00C8319C"/>
    <w:rsid w:val="00C93BCE"/>
    <w:rsid w:val="00CA0EA8"/>
    <w:rsid w:val="00CA1BE7"/>
    <w:rsid w:val="00CA1C44"/>
    <w:rsid w:val="00CA2197"/>
    <w:rsid w:val="00CA39AA"/>
    <w:rsid w:val="00CA61BD"/>
    <w:rsid w:val="00CA6791"/>
    <w:rsid w:val="00CB1877"/>
    <w:rsid w:val="00CB3D49"/>
    <w:rsid w:val="00CC3D78"/>
    <w:rsid w:val="00CC565B"/>
    <w:rsid w:val="00CC62E6"/>
    <w:rsid w:val="00CC6501"/>
    <w:rsid w:val="00CD52B3"/>
    <w:rsid w:val="00CE046C"/>
    <w:rsid w:val="00CE32E0"/>
    <w:rsid w:val="00CE5788"/>
    <w:rsid w:val="00CF7CE2"/>
    <w:rsid w:val="00D004AC"/>
    <w:rsid w:val="00D006A9"/>
    <w:rsid w:val="00D11952"/>
    <w:rsid w:val="00D136B9"/>
    <w:rsid w:val="00D140DC"/>
    <w:rsid w:val="00D1598F"/>
    <w:rsid w:val="00D160F5"/>
    <w:rsid w:val="00D20027"/>
    <w:rsid w:val="00D22CB8"/>
    <w:rsid w:val="00D31164"/>
    <w:rsid w:val="00D40B30"/>
    <w:rsid w:val="00D52DFA"/>
    <w:rsid w:val="00D565F0"/>
    <w:rsid w:val="00D606F6"/>
    <w:rsid w:val="00D66F2F"/>
    <w:rsid w:val="00D70DBC"/>
    <w:rsid w:val="00D83C41"/>
    <w:rsid w:val="00D94C17"/>
    <w:rsid w:val="00DA1B27"/>
    <w:rsid w:val="00DA3565"/>
    <w:rsid w:val="00DB0E94"/>
    <w:rsid w:val="00DB6DA0"/>
    <w:rsid w:val="00DB6ECF"/>
    <w:rsid w:val="00DC1FC5"/>
    <w:rsid w:val="00DC7EFE"/>
    <w:rsid w:val="00DD49DF"/>
    <w:rsid w:val="00DD7CC3"/>
    <w:rsid w:val="00DE2610"/>
    <w:rsid w:val="00DF1A47"/>
    <w:rsid w:val="00DF5EE3"/>
    <w:rsid w:val="00E15C0E"/>
    <w:rsid w:val="00E16FF1"/>
    <w:rsid w:val="00E23E0A"/>
    <w:rsid w:val="00E23ED0"/>
    <w:rsid w:val="00E25C60"/>
    <w:rsid w:val="00E267F8"/>
    <w:rsid w:val="00E3079B"/>
    <w:rsid w:val="00E37C15"/>
    <w:rsid w:val="00E40779"/>
    <w:rsid w:val="00E40A98"/>
    <w:rsid w:val="00E46EA1"/>
    <w:rsid w:val="00E52526"/>
    <w:rsid w:val="00E530C9"/>
    <w:rsid w:val="00E5514B"/>
    <w:rsid w:val="00E56593"/>
    <w:rsid w:val="00E65ECE"/>
    <w:rsid w:val="00E732BA"/>
    <w:rsid w:val="00E74030"/>
    <w:rsid w:val="00E741F6"/>
    <w:rsid w:val="00E807E0"/>
    <w:rsid w:val="00E83FBD"/>
    <w:rsid w:val="00E86773"/>
    <w:rsid w:val="00E9647B"/>
    <w:rsid w:val="00EA411E"/>
    <w:rsid w:val="00EB17F2"/>
    <w:rsid w:val="00EC623A"/>
    <w:rsid w:val="00ED1A00"/>
    <w:rsid w:val="00ED470C"/>
    <w:rsid w:val="00ED55E1"/>
    <w:rsid w:val="00ED6947"/>
    <w:rsid w:val="00EF0205"/>
    <w:rsid w:val="00EF06A1"/>
    <w:rsid w:val="00EF23A2"/>
    <w:rsid w:val="00EF61A6"/>
    <w:rsid w:val="00F0198D"/>
    <w:rsid w:val="00F10981"/>
    <w:rsid w:val="00F20369"/>
    <w:rsid w:val="00F210F9"/>
    <w:rsid w:val="00F25AAD"/>
    <w:rsid w:val="00F2726D"/>
    <w:rsid w:val="00F325C7"/>
    <w:rsid w:val="00F345AB"/>
    <w:rsid w:val="00F35325"/>
    <w:rsid w:val="00F35C38"/>
    <w:rsid w:val="00F46461"/>
    <w:rsid w:val="00F54EF2"/>
    <w:rsid w:val="00F5589F"/>
    <w:rsid w:val="00F62F75"/>
    <w:rsid w:val="00F63BFD"/>
    <w:rsid w:val="00F70A1E"/>
    <w:rsid w:val="00F75716"/>
    <w:rsid w:val="00F76448"/>
    <w:rsid w:val="00F77E0D"/>
    <w:rsid w:val="00F8200B"/>
    <w:rsid w:val="00F9278E"/>
    <w:rsid w:val="00F93A59"/>
    <w:rsid w:val="00FA6BFF"/>
    <w:rsid w:val="00FB5847"/>
    <w:rsid w:val="00FD05A2"/>
    <w:rsid w:val="00FD1A89"/>
    <w:rsid w:val="00FD2FE5"/>
    <w:rsid w:val="00FD6BE0"/>
    <w:rsid w:val="00FE06EC"/>
    <w:rsid w:val="00FE248F"/>
    <w:rsid w:val="00FE2C09"/>
    <w:rsid w:val="00FE2EF8"/>
    <w:rsid w:val="00FE5B58"/>
    <w:rsid w:val="00FE6F02"/>
    <w:rsid w:val="00FE7EF2"/>
    <w:rsid w:val="00FF6AAB"/>
    <w:rsid w:val="00FF7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EA1"/>
  </w:style>
  <w:style w:type="paragraph" w:styleId="Heading1">
    <w:name w:val="heading 1"/>
    <w:basedOn w:val="Normal"/>
    <w:next w:val="Normal"/>
    <w:qFormat/>
    <w:rsid w:val="00E46EA1"/>
    <w:pPr>
      <w:keepNext/>
      <w:outlineLvl w:val="0"/>
    </w:pPr>
    <w:rPr>
      <w:rFonts w:ascii="Arial" w:hAnsi="Arial"/>
      <w:b/>
      <w:sz w:val="22"/>
      <w:u w:val="single"/>
    </w:rPr>
  </w:style>
  <w:style w:type="paragraph" w:styleId="Heading2">
    <w:name w:val="heading 2"/>
    <w:basedOn w:val="Normal"/>
    <w:next w:val="Normal"/>
    <w:qFormat/>
    <w:rsid w:val="00E46EA1"/>
    <w:pPr>
      <w:keepNext/>
      <w:numPr>
        <w:numId w:val="1"/>
      </w:numPr>
      <w:outlineLvl w:val="1"/>
    </w:pPr>
    <w:rPr>
      <w:rFonts w:ascii="Arial" w:hAnsi="Arial"/>
      <w:b/>
      <w:sz w:val="22"/>
      <w:u w:val="single"/>
    </w:rPr>
  </w:style>
  <w:style w:type="paragraph" w:styleId="Heading3">
    <w:name w:val="heading 3"/>
    <w:basedOn w:val="Normal"/>
    <w:next w:val="Normal"/>
    <w:qFormat/>
    <w:rsid w:val="00E46EA1"/>
    <w:pPr>
      <w:keepNext/>
      <w:tabs>
        <w:tab w:val="left" w:pos="720"/>
      </w:tabs>
      <w:jc w:val="both"/>
      <w:outlineLvl w:val="2"/>
    </w:pPr>
    <w:rPr>
      <w:rFonts w:ascii="Arial" w:hAnsi="Arial"/>
      <w:b/>
      <w:sz w:val="22"/>
    </w:rPr>
  </w:style>
  <w:style w:type="paragraph" w:styleId="Heading4">
    <w:name w:val="heading 4"/>
    <w:basedOn w:val="Normal"/>
    <w:next w:val="Normal"/>
    <w:qFormat/>
    <w:rsid w:val="00E46EA1"/>
    <w:pPr>
      <w:keepNext/>
      <w:numPr>
        <w:numId w:val="2"/>
      </w:numPr>
      <w:tabs>
        <w:tab w:val="clear" w:pos="360"/>
        <w:tab w:val="num" w:pos="720"/>
      </w:tabs>
      <w:jc w:val="both"/>
      <w:outlineLvl w:val="3"/>
    </w:pPr>
    <w:rPr>
      <w:rFonts w:ascii="Arial" w:hAnsi="Arial"/>
      <w:b/>
      <w:sz w:val="22"/>
      <w:u w:val="single"/>
    </w:rPr>
  </w:style>
  <w:style w:type="paragraph" w:styleId="Heading5">
    <w:name w:val="heading 5"/>
    <w:basedOn w:val="Normal"/>
    <w:next w:val="Normal"/>
    <w:qFormat/>
    <w:rsid w:val="00E46EA1"/>
    <w:pPr>
      <w:keepNext/>
      <w:ind w:left="5760"/>
      <w:outlineLvl w:val="4"/>
    </w:pPr>
    <w:rPr>
      <w:rFonts w:ascii="Arial" w:hAnsi="Arial"/>
      <w:b/>
      <w:sz w:val="22"/>
    </w:rPr>
  </w:style>
  <w:style w:type="paragraph" w:styleId="Heading6">
    <w:name w:val="heading 6"/>
    <w:basedOn w:val="Normal"/>
    <w:next w:val="Normal"/>
    <w:qFormat/>
    <w:rsid w:val="00E46EA1"/>
    <w:pPr>
      <w:keepNext/>
      <w:ind w:left="5040"/>
      <w:jc w:val="both"/>
      <w:outlineLvl w:val="5"/>
    </w:pPr>
    <w:rPr>
      <w:rFonts w:ascii="Arial" w:hAnsi="Arial"/>
      <w:b/>
      <w:sz w:val="22"/>
    </w:rPr>
  </w:style>
  <w:style w:type="paragraph" w:styleId="Heading7">
    <w:name w:val="heading 7"/>
    <w:basedOn w:val="Normal"/>
    <w:next w:val="Normal"/>
    <w:qFormat/>
    <w:rsid w:val="00E46EA1"/>
    <w:pPr>
      <w:keepNext/>
      <w:ind w:left="1440"/>
      <w:outlineLvl w:val="6"/>
    </w:pPr>
    <w:rPr>
      <w:rFonts w:ascii="Arial" w:hAnsi="Arial"/>
      <w:b/>
      <w:sz w:val="22"/>
      <w:u w:val="single"/>
    </w:rPr>
  </w:style>
  <w:style w:type="paragraph" w:styleId="Heading8">
    <w:name w:val="heading 8"/>
    <w:basedOn w:val="Normal"/>
    <w:next w:val="Normal"/>
    <w:qFormat/>
    <w:rsid w:val="00E46EA1"/>
    <w:pPr>
      <w:keepNext/>
      <w:numPr>
        <w:numId w:val="3"/>
      </w:numPr>
      <w:jc w:val="both"/>
      <w:outlineLvl w:val="7"/>
    </w:pPr>
    <w:rPr>
      <w:rFonts w:ascii="Arial" w:hAnsi="Arial"/>
      <w:b/>
      <w:sz w:val="22"/>
    </w:rPr>
  </w:style>
  <w:style w:type="paragraph" w:styleId="Heading9">
    <w:name w:val="heading 9"/>
    <w:basedOn w:val="Normal"/>
    <w:next w:val="Normal"/>
    <w:qFormat/>
    <w:rsid w:val="00E46EA1"/>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6EA1"/>
    <w:pPr>
      <w:ind w:left="720"/>
      <w:jc w:val="both"/>
    </w:pPr>
    <w:rPr>
      <w:rFonts w:ascii="Arial" w:hAnsi="Arial"/>
      <w:sz w:val="22"/>
    </w:rPr>
  </w:style>
  <w:style w:type="paragraph" w:styleId="BodyTextIndent2">
    <w:name w:val="Body Text Indent 2"/>
    <w:basedOn w:val="Normal"/>
    <w:rsid w:val="00E46EA1"/>
    <w:pPr>
      <w:ind w:left="720" w:hanging="720"/>
      <w:jc w:val="both"/>
    </w:pPr>
    <w:rPr>
      <w:rFonts w:ascii="Arial" w:hAnsi="Arial"/>
      <w:sz w:val="22"/>
    </w:rPr>
  </w:style>
  <w:style w:type="paragraph" w:styleId="BodyTextIndent3">
    <w:name w:val="Body Text Indent 3"/>
    <w:basedOn w:val="Normal"/>
    <w:rsid w:val="00E46EA1"/>
    <w:pPr>
      <w:ind w:left="720"/>
    </w:pPr>
    <w:rPr>
      <w:rFonts w:ascii="Arial" w:hAnsi="Arial"/>
      <w:sz w:val="24"/>
    </w:rPr>
  </w:style>
  <w:style w:type="paragraph" w:styleId="Footer">
    <w:name w:val="footer"/>
    <w:basedOn w:val="Normal"/>
    <w:rsid w:val="00E46EA1"/>
    <w:pPr>
      <w:tabs>
        <w:tab w:val="center" w:pos="4320"/>
        <w:tab w:val="right" w:pos="8640"/>
      </w:tabs>
    </w:pPr>
  </w:style>
  <w:style w:type="character" w:styleId="PageNumber">
    <w:name w:val="page number"/>
    <w:basedOn w:val="DefaultParagraphFont"/>
    <w:rsid w:val="00E46EA1"/>
  </w:style>
  <w:style w:type="paragraph" w:styleId="FootnoteText">
    <w:name w:val="footnote text"/>
    <w:basedOn w:val="Normal"/>
    <w:semiHidden/>
    <w:rsid w:val="00E46EA1"/>
  </w:style>
  <w:style w:type="character" w:styleId="FootnoteReference">
    <w:name w:val="footnote reference"/>
    <w:basedOn w:val="DefaultParagraphFont"/>
    <w:semiHidden/>
    <w:rsid w:val="00E46EA1"/>
    <w:rPr>
      <w:vertAlign w:val="superscript"/>
    </w:rPr>
  </w:style>
  <w:style w:type="character" w:styleId="Emphasis">
    <w:name w:val="Emphasis"/>
    <w:basedOn w:val="DefaultParagraphFont"/>
    <w:qFormat/>
    <w:rsid w:val="00E46EA1"/>
    <w:rPr>
      <w:i/>
      <w:iCs/>
    </w:rPr>
  </w:style>
  <w:style w:type="paragraph" w:styleId="Header">
    <w:name w:val="header"/>
    <w:basedOn w:val="Normal"/>
    <w:link w:val="HeaderChar"/>
    <w:uiPriority w:val="99"/>
    <w:rsid w:val="00E46EA1"/>
    <w:pPr>
      <w:tabs>
        <w:tab w:val="center" w:pos="4320"/>
        <w:tab w:val="right" w:pos="8640"/>
      </w:tabs>
    </w:pPr>
  </w:style>
  <w:style w:type="paragraph" w:styleId="BodyText">
    <w:name w:val="Body Text"/>
    <w:basedOn w:val="Normal"/>
    <w:rsid w:val="00E46EA1"/>
    <w:pPr>
      <w:jc w:val="both"/>
    </w:pPr>
    <w:rPr>
      <w:rFonts w:ascii="Arial" w:hAnsi="Arial"/>
      <w:sz w:val="24"/>
    </w:rPr>
  </w:style>
  <w:style w:type="paragraph" w:styleId="BodyText2">
    <w:name w:val="Body Text 2"/>
    <w:basedOn w:val="Normal"/>
    <w:rsid w:val="00E46EA1"/>
    <w:pPr>
      <w:jc w:val="both"/>
    </w:pPr>
    <w:rPr>
      <w:rFonts w:ascii="Arial" w:hAnsi="Arial"/>
      <w:b/>
      <w:bCs/>
      <w:sz w:val="24"/>
    </w:rPr>
  </w:style>
  <w:style w:type="paragraph" w:styleId="BodyText3">
    <w:name w:val="Body Text 3"/>
    <w:basedOn w:val="Normal"/>
    <w:rsid w:val="00E46EA1"/>
    <w:pPr>
      <w:jc w:val="right"/>
    </w:pPr>
    <w:rPr>
      <w:rFonts w:ascii="Arial" w:hAnsi="Arial" w:cs="Arial"/>
      <w:sz w:val="24"/>
    </w:rPr>
  </w:style>
  <w:style w:type="paragraph" w:customStyle="1" w:styleId="fx-ast1">
    <w:name w:val="fx-ast1"/>
    <w:basedOn w:val="Normal"/>
    <w:rsid w:val="00575B65"/>
    <w:pPr>
      <w:tabs>
        <w:tab w:val="left" w:pos="-1440"/>
        <w:tab w:val="left" w:pos="-720"/>
        <w:tab w:val="left" w:pos="0"/>
        <w:tab w:val="left" w:pos="719"/>
        <w:tab w:val="right" w:pos="2742"/>
        <w:tab w:val="right" w:pos="4860"/>
        <w:tab w:val="right" w:pos="6300"/>
        <w:tab w:val="right" w:pos="7830"/>
        <w:tab w:val="right" w:pos="9270"/>
      </w:tabs>
      <w:suppressAutoHyphens/>
      <w:spacing w:line="228" w:lineRule="auto"/>
      <w:jc w:val="both"/>
    </w:pPr>
    <w:rPr>
      <w:rFonts w:eastAsia="PMingLiU"/>
      <w:spacing w:val="-2"/>
      <w:sz w:val="22"/>
      <w:lang w:val="en-GB" w:eastAsia="zh-CN"/>
    </w:rPr>
  </w:style>
  <w:style w:type="paragraph" w:customStyle="1" w:styleId="NormalArial">
    <w:name w:val="Normal+Arial"/>
    <w:aliases w:val="9pt"/>
    <w:basedOn w:val="Normal"/>
    <w:rsid w:val="00575B65"/>
  </w:style>
  <w:style w:type="paragraph" w:styleId="BalloonText">
    <w:name w:val="Balloon Text"/>
    <w:basedOn w:val="Normal"/>
    <w:link w:val="BalloonTextChar"/>
    <w:rsid w:val="004D4E9A"/>
    <w:rPr>
      <w:rFonts w:ascii="Tahoma" w:hAnsi="Tahoma" w:cs="Tahoma"/>
      <w:sz w:val="16"/>
      <w:szCs w:val="16"/>
    </w:rPr>
  </w:style>
  <w:style w:type="character" w:customStyle="1" w:styleId="BalloonTextChar">
    <w:name w:val="Balloon Text Char"/>
    <w:basedOn w:val="DefaultParagraphFont"/>
    <w:link w:val="BalloonText"/>
    <w:rsid w:val="004D4E9A"/>
    <w:rPr>
      <w:rFonts w:ascii="Tahoma" w:hAnsi="Tahoma" w:cs="Tahoma"/>
      <w:sz w:val="16"/>
      <w:szCs w:val="16"/>
      <w:lang w:eastAsia="en-US"/>
    </w:rPr>
  </w:style>
  <w:style w:type="table" w:styleId="TableGrid">
    <w:name w:val="Table Grid"/>
    <w:basedOn w:val="TableNormal"/>
    <w:rsid w:val="004B0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136B9"/>
    <w:rPr>
      <w:lang w:eastAsia="en-US"/>
    </w:rPr>
  </w:style>
  <w:style w:type="character" w:customStyle="1" w:styleId="apple-converted-space">
    <w:name w:val="apple-converted-space"/>
    <w:basedOn w:val="DefaultParagraphFont"/>
    <w:rsid w:val="008C352C"/>
  </w:style>
</w:styles>
</file>

<file path=word/webSettings.xml><?xml version="1.0" encoding="utf-8"?>
<w:webSettings xmlns:r="http://schemas.openxmlformats.org/officeDocument/2006/relationships" xmlns:w="http://schemas.openxmlformats.org/wordprocessingml/2006/main">
  <w:divs>
    <w:div w:id="10689507">
      <w:bodyDiv w:val="1"/>
      <w:marLeft w:val="0"/>
      <w:marRight w:val="0"/>
      <w:marTop w:val="0"/>
      <w:marBottom w:val="0"/>
      <w:divBdr>
        <w:top w:val="none" w:sz="0" w:space="0" w:color="auto"/>
        <w:left w:val="none" w:sz="0" w:space="0" w:color="auto"/>
        <w:bottom w:val="none" w:sz="0" w:space="0" w:color="auto"/>
        <w:right w:val="none" w:sz="0" w:space="0" w:color="auto"/>
      </w:divBdr>
    </w:div>
    <w:div w:id="51588697">
      <w:bodyDiv w:val="1"/>
      <w:marLeft w:val="0"/>
      <w:marRight w:val="0"/>
      <w:marTop w:val="0"/>
      <w:marBottom w:val="0"/>
      <w:divBdr>
        <w:top w:val="none" w:sz="0" w:space="0" w:color="auto"/>
        <w:left w:val="none" w:sz="0" w:space="0" w:color="auto"/>
        <w:bottom w:val="none" w:sz="0" w:space="0" w:color="auto"/>
        <w:right w:val="none" w:sz="0" w:space="0" w:color="auto"/>
      </w:divBdr>
    </w:div>
    <w:div w:id="663975308">
      <w:bodyDiv w:val="1"/>
      <w:marLeft w:val="0"/>
      <w:marRight w:val="0"/>
      <w:marTop w:val="0"/>
      <w:marBottom w:val="0"/>
      <w:divBdr>
        <w:top w:val="none" w:sz="0" w:space="0" w:color="auto"/>
        <w:left w:val="none" w:sz="0" w:space="0" w:color="auto"/>
        <w:bottom w:val="none" w:sz="0" w:space="0" w:color="auto"/>
        <w:right w:val="none" w:sz="0" w:space="0" w:color="auto"/>
      </w:divBdr>
    </w:div>
    <w:div w:id="694430750">
      <w:bodyDiv w:val="1"/>
      <w:marLeft w:val="0"/>
      <w:marRight w:val="0"/>
      <w:marTop w:val="0"/>
      <w:marBottom w:val="0"/>
      <w:divBdr>
        <w:top w:val="none" w:sz="0" w:space="0" w:color="auto"/>
        <w:left w:val="none" w:sz="0" w:space="0" w:color="auto"/>
        <w:bottom w:val="none" w:sz="0" w:space="0" w:color="auto"/>
        <w:right w:val="none" w:sz="0" w:space="0" w:color="auto"/>
      </w:divBdr>
      <w:divsChild>
        <w:div w:id="2131777113">
          <w:marLeft w:val="0"/>
          <w:marRight w:val="0"/>
          <w:marTop w:val="0"/>
          <w:marBottom w:val="0"/>
          <w:divBdr>
            <w:top w:val="none" w:sz="0" w:space="0" w:color="auto"/>
            <w:left w:val="none" w:sz="0" w:space="0" w:color="auto"/>
            <w:bottom w:val="none" w:sz="0" w:space="0" w:color="auto"/>
            <w:right w:val="none" w:sz="0" w:space="0" w:color="auto"/>
          </w:divBdr>
        </w:div>
      </w:divsChild>
    </w:div>
    <w:div w:id="721901582">
      <w:bodyDiv w:val="1"/>
      <w:marLeft w:val="0"/>
      <w:marRight w:val="0"/>
      <w:marTop w:val="0"/>
      <w:marBottom w:val="0"/>
      <w:divBdr>
        <w:top w:val="none" w:sz="0" w:space="0" w:color="auto"/>
        <w:left w:val="none" w:sz="0" w:space="0" w:color="auto"/>
        <w:bottom w:val="none" w:sz="0" w:space="0" w:color="auto"/>
        <w:right w:val="none" w:sz="0" w:space="0" w:color="auto"/>
      </w:divBdr>
    </w:div>
    <w:div w:id="723217418">
      <w:bodyDiv w:val="1"/>
      <w:marLeft w:val="0"/>
      <w:marRight w:val="0"/>
      <w:marTop w:val="0"/>
      <w:marBottom w:val="0"/>
      <w:divBdr>
        <w:top w:val="none" w:sz="0" w:space="0" w:color="auto"/>
        <w:left w:val="none" w:sz="0" w:space="0" w:color="auto"/>
        <w:bottom w:val="none" w:sz="0" w:space="0" w:color="auto"/>
        <w:right w:val="none" w:sz="0" w:space="0" w:color="auto"/>
      </w:divBdr>
    </w:div>
    <w:div w:id="740105386">
      <w:bodyDiv w:val="1"/>
      <w:marLeft w:val="0"/>
      <w:marRight w:val="0"/>
      <w:marTop w:val="0"/>
      <w:marBottom w:val="0"/>
      <w:divBdr>
        <w:top w:val="none" w:sz="0" w:space="0" w:color="auto"/>
        <w:left w:val="none" w:sz="0" w:space="0" w:color="auto"/>
        <w:bottom w:val="none" w:sz="0" w:space="0" w:color="auto"/>
        <w:right w:val="none" w:sz="0" w:space="0" w:color="auto"/>
      </w:divBdr>
    </w:div>
    <w:div w:id="820929910">
      <w:bodyDiv w:val="1"/>
      <w:marLeft w:val="0"/>
      <w:marRight w:val="0"/>
      <w:marTop w:val="0"/>
      <w:marBottom w:val="0"/>
      <w:divBdr>
        <w:top w:val="none" w:sz="0" w:space="0" w:color="auto"/>
        <w:left w:val="none" w:sz="0" w:space="0" w:color="auto"/>
        <w:bottom w:val="none" w:sz="0" w:space="0" w:color="auto"/>
        <w:right w:val="none" w:sz="0" w:space="0" w:color="auto"/>
      </w:divBdr>
    </w:div>
    <w:div w:id="907497383">
      <w:bodyDiv w:val="1"/>
      <w:marLeft w:val="0"/>
      <w:marRight w:val="0"/>
      <w:marTop w:val="0"/>
      <w:marBottom w:val="0"/>
      <w:divBdr>
        <w:top w:val="none" w:sz="0" w:space="0" w:color="auto"/>
        <w:left w:val="none" w:sz="0" w:space="0" w:color="auto"/>
        <w:bottom w:val="none" w:sz="0" w:space="0" w:color="auto"/>
        <w:right w:val="none" w:sz="0" w:space="0" w:color="auto"/>
      </w:divBdr>
    </w:div>
    <w:div w:id="1004209028">
      <w:bodyDiv w:val="1"/>
      <w:marLeft w:val="0"/>
      <w:marRight w:val="0"/>
      <w:marTop w:val="0"/>
      <w:marBottom w:val="0"/>
      <w:divBdr>
        <w:top w:val="none" w:sz="0" w:space="0" w:color="auto"/>
        <w:left w:val="none" w:sz="0" w:space="0" w:color="auto"/>
        <w:bottom w:val="none" w:sz="0" w:space="0" w:color="auto"/>
        <w:right w:val="none" w:sz="0" w:space="0" w:color="auto"/>
      </w:divBdr>
    </w:div>
    <w:div w:id="1358698113">
      <w:bodyDiv w:val="1"/>
      <w:marLeft w:val="0"/>
      <w:marRight w:val="0"/>
      <w:marTop w:val="0"/>
      <w:marBottom w:val="0"/>
      <w:divBdr>
        <w:top w:val="none" w:sz="0" w:space="0" w:color="auto"/>
        <w:left w:val="none" w:sz="0" w:space="0" w:color="auto"/>
        <w:bottom w:val="none" w:sz="0" w:space="0" w:color="auto"/>
        <w:right w:val="none" w:sz="0" w:space="0" w:color="auto"/>
      </w:divBdr>
    </w:div>
    <w:div w:id="1503357312">
      <w:bodyDiv w:val="1"/>
      <w:marLeft w:val="0"/>
      <w:marRight w:val="0"/>
      <w:marTop w:val="0"/>
      <w:marBottom w:val="0"/>
      <w:divBdr>
        <w:top w:val="none" w:sz="0" w:space="0" w:color="auto"/>
        <w:left w:val="none" w:sz="0" w:space="0" w:color="auto"/>
        <w:bottom w:val="none" w:sz="0" w:space="0" w:color="auto"/>
        <w:right w:val="none" w:sz="0" w:space="0" w:color="auto"/>
      </w:divBdr>
    </w:div>
    <w:div w:id="17204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D96E-0FF8-421B-80AE-F9527EEB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2401</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EDARAN DIGITAL SYSTEMS BERHAD</vt:lpstr>
    </vt:vector>
  </TitlesOfParts>
  <Company>Microsoft</Company>
  <LinksUpToDate>false</LinksUpToDate>
  <CharactersWithSpaces>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EDARAN DIGITAL SYSTEMS BERHAD</dc:title>
  <dc:subject/>
  <dc:creator>Faizal</dc:creator>
  <cp:keywords/>
  <dc:description/>
  <cp:lastModifiedBy>DC</cp:lastModifiedBy>
  <cp:revision>15</cp:revision>
  <cp:lastPrinted>2012-02-20T00:53:00Z</cp:lastPrinted>
  <dcterms:created xsi:type="dcterms:W3CDTF">2012-02-16T07:07:00Z</dcterms:created>
  <dcterms:modified xsi:type="dcterms:W3CDTF">2012-02-27T06:59:00Z</dcterms:modified>
</cp:coreProperties>
</file>